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17A2" w14:textId="6D3B219A" w:rsidR="00997221" w:rsidRDefault="00E24963" w:rsidP="00A76780">
      <w:pPr>
        <w:pStyle w:val="NoSpacing"/>
        <w:jc w:val="right"/>
        <w:rPr>
          <w:noProof/>
        </w:rPr>
      </w:pPr>
      <w:r>
        <w:rPr>
          <w:noProof/>
        </w:rPr>
        <w:drawing>
          <wp:anchor distT="0" distB="0" distL="114300" distR="114300" simplePos="0" relativeHeight="251662336" behindDoc="0" locked="0" layoutInCell="1" allowOverlap="1" wp14:anchorId="6B8027E9" wp14:editId="29C62624">
            <wp:simplePos x="0" y="0"/>
            <wp:positionH relativeFrom="column">
              <wp:posOffset>2414270</wp:posOffset>
            </wp:positionH>
            <wp:positionV relativeFrom="page">
              <wp:posOffset>1457325</wp:posOffset>
            </wp:positionV>
            <wp:extent cx="1990725" cy="1233170"/>
            <wp:effectExtent l="0" t="0" r="0" b="0"/>
            <wp:wrapThrough wrapText="bothSides">
              <wp:wrapPolygon edited="0">
                <wp:start x="0" y="0"/>
                <wp:lineTo x="0" y="20688"/>
                <wp:lineTo x="21083" y="20688"/>
                <wp:lineTo x="21083" y="0"/>
                <wp:lineTo x="0" y="0"/>
              </wp:wrapPolygon>
            </wp:wrapThrough>
            <wp:docPr id="2" name="Picture 1" descr="UN-SPI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SPIDER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1233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0DD163D" wp14:editId="57115157">
            <wp:simplePos x="0" y="0"/>
            <wp:positionH relativeFrom="column">
              <wp:posOffset>-914400</wp:posOffset>
            </wp:positionH>
            <wp:positionV relativeFrom="paragraph">
              <wp:posOffset>-1586865</wp:posOffset>
            </wp:positionV>
            <wp:extent cx="7802880" cy="1625600"/>
            <wp:effectExtent l="0" t="0" r="7620" b="0"/>
            <wp:wrapNone/>
            <wp:docPr id="8" name="Picture 8"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electronics, displa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02880" cy="162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1019F37E" wp14:editId="7BDF4679">
            <wp:simplePos x="0" y="0"/>
            <wp:positionH relativeFrom="column">
              <wp:posOffset>4306570</wp:posOffset>
            </wp:positionH>
            <wp:positionV relativeFrom="paragraph">
              <wp:posOffset>0</wp:posOffset>
            </wp:positionV>
            <wp:extent cx="1623060" cy="1052195"/>
            <wp:effectExtent l="0" t="0" r="0" b="0"/>
            <wp:wrapThrough wrapText="bothSides">
              <wp:wrapPolygon edited="0">
                <wp:start x="0" y="0"/>
                <wp:lineTo x="0" y="21118"/>
                <wp:lineTo x="21296" y="21118"/>
                <wp:lineTo x="21296" y="0"/>
                <wp:lineTo x="0" y="0"/>
              </wp:wrapPolygon>
            </wp:wrapThrough>
            <wp:docPr id="1346348939" name="Picture 1" descr="A logo of a mountain with flowers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48939" name="Picture 1" descr="A logo of a mountain with flowers and a flag&#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3060" cy="1052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3EBBE1D" wp14:editId="6F7B5401">
            <wp:simplePos x="0" y="0"/>
            <wp:positionH relativeFrom="page">
              <wp:posOffset>878205</wp:posOffset>
            </wp:positionH>
            <wp:positionV relativeFrom="page">
              <wp:posOffset>1564957</wp:posOffset>
            </wp:positionV>
            <wp:extent cx="2219325" cy="990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932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D1FE88" w14:textId="054FE7DC" w:rsidR="003F0282" w:rsidRDefault="003F0282" w:rsidP="00730E6A">
      <w:pPr>
        <w:pStyle w:val="NoSpacing"/>
      </w:pPr>
    </w:p>
    <w:p w14:paraId="7EC64ABD" w14:textId="7E6DE337" w:rsidR="00671963" w:rsidRDefault="00671963" w:rsidP="0013034A">
      <w:pPr>
        <w:rPr>
          <w:rFonts w:ascii="Myriad Pro" w:hAnsi="Myriad Pro"/>
          <w:b/>
          <w:bCs/>
          <w:color w:val="1F3864" w:themeColor="accent1" w:themeShade="80"/>
          <w:sz w:val="44"/>
          <w:szCs w:val="44"/>
        </w:rPr>
      </w:pPr>
    </w:p>
    <w:p w14:paraId="3DC909F7" w14:textId="77777777" w:rsidR="00671963" w:rsidRDefault="00671963" w:rsidP="0013034A">
      <w:pPr>
        <w:rPr>
          <w:rFonts w:ascii="Myriad Pro" w:hAnsi="Myriad Pro"/>
          <w:b/>
          <w:bCs/>
          <w:color w:val="1F3864" w:themeColor="accent1" w:themeShade="80"/>
          <w:sz w:val="44"/>
          <w:szCs w:val="44"/>
        </w:rPr>
      </w:pPr>
    </w:p>
    <w:p w14:paraId="4A94A2B3" w14:textId="45F50B1B" w:rsidR="00747FFB" w:rsidRPr="00E24963" w:rsidRDefault="00E24963" w:rsidP="00E24963">
      <w:pPr>
        <w:pStyle w:val="Heading1"/>
        <w:rPr>
          <w:rFonts w:ascii="Myriad Pro" w:hAnsi="Myriad Pro"/>
          <w:b/>
          <w:sz w:val="44"/>
        </w:rPr>
      </w:pPr>
      <w:r>
        <w:rPr>
          <w:rFonts w:ascii="Myriad Pro" w:hAnsi="Myriad Pro"/>
          <w:b/>
          <w:sz w:val="44"/>
        </w:rPr>
        <w:t>T</w:t>
      </w:r>
      <w:r w:rsidR="00747FFB" w:rsidRPr="00E24963">
        <w:rPr>
          <w:rFonts w:ascii="Myriad Pro" w:hAnsi="Myriad Pro"/>
          <w:b/>
          <w:sz w:val="44"/>
        </w:rPr>
        <w:t>raining on</w:t>
      </w:r>
      <w:r>
        <w:rPr>
          <w:rFonts w:ascii="Myriad Pro" w:hAnsi="Myriad Pro"/>
          <w:b/>
          <w:sz w:val="44"/>
        </w:rPr>
        <w:t xml:space="preserve"> </w:t>
      </w:r>
      <w:r w:rsidR="00747FFB" w:rsidRPr="00E24963">
        <w:rPr>
          <w:rFonts w:ascii="Myriad Pro" w:hAnsi="Myriad Pro"/>
          <w:b/>
          <w:sz w:val="44"/>
        </w:rPr>
        <w:t>Multi-hazard Risk Assessment for Risk Reduction Planning</w:t>
      </w:r>
    </w:p>
    <w:p w14:paraId="43329B3F" w14:textId="01FA7465" w:rsidR="00747FFB" w:rsidRPr="00790EBF" w:rsidRDefault="00440614" w:rsidP="00747FFB">
      <w:pPr>
        <w:pStyle w:val="Heading1"/>
        <w:rPr>
          <w:rFonts w:ascii="Myriad Pro" w:hAnsi="Myriad Pro"/>
          <w:b/>
          <w:i/>
          <w:iCs/>
        </w:rPr>
      </w:pPr>
      <w:r>
        <w:rPr>
          <w:rFonts w:ascii="Myriad Pro" w:hAnsi="Myriad Pro"/>
          <w:b/>
          <w:i/>
          <w:iCs/>
        </w:rPr>
        <w:t>12</w:t>
      </w:r>
      <w:r w:rsidR="00747FFB" w:rsidRPr="00790EBF">
        <w:rPr>
          <w:rFonts w:ascii="Myriad Pro" w:hAnsi="Myriad Pro"/>
          <w:b/>
          <w:i/>
          <w:iCs/>
        </w:rPr>
        <w:t>-1</w:t>
      </w:r>
      <w:r w:rsidR="00DC51BD">
        <w:rPr>
          <w:rFonts w:ascii="Myriad Pro" w:hAnsi="Myriad Pro"/>
          <w:b/>
          <w:i/>
          <w:iCs/>
        </w:rPr>
        <w:t>5</w:t>
      </w:r>
      <w:r w:rsidR="00747FFB" w:rsidRPr="00790EBF">
        <w:rPr>
          <w:rFonts w:ascii="Myriad Pro" w:hAnsi="Myriad Pro"/>
          <w:b/>
          <w:i/>
          <w:iCs/>
        </w:rPr>
        <w:t xml:space="preserve"> February 2024</w:t>
      </w:r>
      <w:r w:rsidR="00E76C61">
        <w:rPr>
          <w:rFonts w:ascii="Myriad Pro" w:hAnsi="Myriad Pro"/>
          <w:b/>
          <w:i/>
          <w:iCs/>
        </w:rPr>
        <w:t>, Kathmandu</w:t>
      </w:r>
    </w:p>
    <w:p w14:paraId="05B3CD6F" w14:textId="77777777" w:rsidR="00671963" w:rsidRDefault="00671963" w:rsidP="0013034A">
      <w:pPr>
        <w:rPr>
          <w:rFonts w:ascii="Myriad Pro" w:hAnsi="Myriad Pro"/>
          <w:b/>
          <w:bCs/>
          <w:color w:val="1F3864" w:themeColor="accent1" w:themeShade="80"/>
          <w:sz w:val="44"/>
          <w:szCs w:val="44"/>
        </w:rPr>
      </w:pPr>
    </w:p>
    <w:p w14:paraId="4FBE2094" w14:textId="77777777" w:rsidR="00703494" w:rsidRPr="00D311A5" w:rsidRDefault="00703494" w:rsidP="00703494">
      <w:pPr>
        <w:pStyle w:val="Heading3"/>
        <w:rPr>
          <w:b/>
          <w:bCs/>
          <w:color w:val="2F5496" w:themeColor="accent1" w:themeShade="BF"/>
          <w:sz w:val="32"/>
          <w:szCs w:val="32"/>
        </w:rPr>
      </w:pPr>
      <w:r w:rsidRPr="00D311A5">
        <w:rPr>
          <w:b/>
          <w:bCs/>
          <w:color w:val="2F5496" w:themeColor="accent1" w:themeShade="BF"/>
          <w:sz w:val="32"/>
          <w:szCs w:val="32"/>
        </w:rPr>
        <w:t>Background</w:t>
      </w:r>
    </w:p>
    <w:p w14:paraId="4BF49E8A" w14:textId="77777777" w:rsidR="00703494" w:rsidRDefault="00703494" w:rsidP="00703494">
      <w:r>
        <w:t>Multi-hazards pose significant risks to communities and critical infrastructures. The interaction of multi-hazards results in compounding consequences that can exhaust the capacities and functions of the local governments. Unplanned urbanization, population growth, and climate change are further limiting the resources and capacities of the governing bodies. To manage and reduce the residual, current, and future multi-hazard risks followed by resilient development, the local governments require robust risk-informed spatial planning, considering the prevalent hazards, land use, elements-at-risk, and its associated vulnerabilities.</w:t>
      </w:r>
    </w:p>
    <w:p w14:paraId="0272E6A2" w14:textId="77777777" w:rsidR="00703494" w:rsidRDefault="00703494" w:rsidP="00703494"/>
    <w:p w14:paraId="0D0687CE" w14:textId="77777777" w:rsidR="00703494" w:rsidRDefault="00703494" w:rsidP="00703494">
      <w:r>
        <w:t>The concept of multi-hazard risk assessment is evolving. The term ‘multi-hazards’ refers to possible and relevant hazards, and their interactions in a given spatial region and temporal period. Multi-hazard assessment adopts to applying methodologies and approaches designed to evaluate and map the potential occurrence of various types of hazards within a designated geographic region. In a multi-hazard context, vulnerability assessment encompasses a range of dimensions, including social, environmental, economic, and physical aspects, and is dynamic. Interpretation of the multi-hazard risk assessment results is expected to assist the local government in identifying the areas suitable for future developments, plan for sustainable mitigation measures, anticipatory actions and early warning systems to build risk-resilient communities.</w:t>
      </w:r>
      <w:r w:rsidRPr="0001430D">
        <w:t xml:space="preserve"> </w:t>
      </w:r>
    </w:p>
    <w:p w14:paraId="4E94B118" w14:textId="77777777" w:rsidR="00703494" w:rsidRPr="0001430D" w:rsidRDefault="00703494" w:rsidP="00703494"/>
    <w:p w14:paraId="6B67701B" w14:textId="688C8ECA" w:rsidR="00703494" w:rsidRPr="006A0A1E" w:rsidRDefault="00703494" w:rsidP="00703494">
      <w:r w:rsidRPr="0001430D">
        <w:t xml:space="preserve">In an effort to strengthen the capacities of government officials from ministries and departments responsible for disaster risk management </w:t>
      </w:r>
      <w:r>
        <w:t>in</w:t>
      </w:r>
      <w:r w:rsidRPr="0001430D">
        <w:t xml:space="preserve"> </w:t>
      </w:r>
      <w:r>
        <w:t>Nepal</w:t>
      </w:r>
      <w:r w:rsidRPr="0001430D">
        <w:t>, APCICT</w:t>
      </w:r>
      <w:r>
        <w:t>,</w:t>
      </w:r>
      <w:r w:rsidRPr="0001430D">
        <w:t xml:space="preserve"> in partnership with the </w:t>
      </w:r>
      <w:r>
        <w:t>UNSPIDER and National Disaster Risk Reduction and Management Authority (NDRRMA)</w:t>
      </w:r>
      <w:r w:rsidRPr="0001430D">
        <w:t xml:space="preserve"> and in collaboration </w:t>
      </w:r>
      <w:r w:rsidRPr="0001430D">
        <w:lastRenderedPageBreak/>
        <w:t xml:space="preserve">with the Geoinformatics Center/Asian Institute of Technology and ITC-University of Twente will conduct training from </w:t>
      </w:r>
      <w:r w:rsidR="00775BC9">
        <w:t>12</w:t>
      </w:r>
      <w:r>
        <w:t>-1</w:t>
      </w:r>
      <w:r w:rsidR="00775BC9">
        <w:t>5</w:t>
      </w:r>
      <w:r>
        <w:t xml:space="preserve"> February 2024</w:t>
      </w:r>
    </w:p>
    <w:p w14:paraId="7A449EEF" w14:textId="77777777" w:rsidR="00703494" w:rsidRPr="00E47C07" w:rsidRDefault="00703494" w:rsidP="00703494">
      <w:pPr>
        <w:pStyle w:val="Heading3"/>
      </w:pPr>
      <w:r w:rsidRPr="00E47C07">
        <w:t>Objectives</w:t>
      </w:r>
    </w:p>
    <w:p w14:paraId="35924304" w14:textId="77777777" w:rsidR="00703494" w:rsidRPr="0001430D" w:rsidRDefault="00703494" w:rsidP="00703494">
      <w:r w:rsidRPr="0001430D">
        <w:t>By the end of the training, participants will:</w:t>
      </w:r>
    </w:p>
    <w:p w14:paraId="4721C499" w14:textId="77777777" w:rsidR="00703494" w:rsidRDefault="00703494" w:rsidP="00703494">
      <w:pPr>
        <w:pStyle w:val="ListParagraph"/>
        <w:numPr>
          <w:ilvl w:val="0"/>
          <w:numId w:val="41"/>
        </w:numPr>
      </w:pPr>
      <w:r>
        <w:t>Understand the concepts of hazard assessment, elements at risk mapping, vulnerability assessment, and risk assessment.</w:t>
      </w:r>
    </w:p>
    <w:p w14:paraId="757FFABE" w14:textId="77777777" w:rsidR="00703494" w:rsidRDefault="00703494" w:rsidP="00703494">
      <w:pPr>
        <w:pStyle w:val="ListParagraph"/>
        <w:numPr>
          <w:ilvl w:val="0"/>
          <w:numId w:val="41"/>
        </w:numPr>
      </w:pPr>
      <w:r>
        <w:t xml:space="preserve">Retrieve the spatial data requirements for risk assessment. </w:t>
      </w:r>
    </w:p>
    <w:p w14:paraId="49C35112" w14:textId="77777777" w:rsidR="00703494" w:rsidRDefault="00703494" w:rsidP="00703494">
      <w:pPr>
        <w:pStyle w:val="ListParagraph"/>
        <w:numPr>
          <w:ilvl w:val="0"/>
          <w:numId w:val="41"/>
        </w:numPr>
      </w:pPr>
      <w:r>
        <w:t>Generate an elements-at-risk database using GIS.</w:t>
      </w:r>
    </w:p>
    <w:p w14:paraId="6509F7BA" w14:textId="77777777" w:rsidR="00703494" w:rsidRDefault="00703494" w:rsidP="00703494">
      <w:pPr>
        <w:pStyle w:val="ListParagraph"/>
        <w:numPr>
          <w:ilvl w:val="0"/>
          <w:numId w:val="41"/>
        </w:numPr>
      </w:pPr>
      <w:r>
        <w:t>Formulate the requirements of hazard data and methods.</w:t>
      </w:r>
    </w:p>
    <w:p w14:paraId="4A7192C1" w14:textId="77777777" w:rsidR="00703494" w:rsidRDefault="00703494" w:rsidP="00703494">
      <w:pPr>
        <w:pStyle w:val="ListParagraph"/>
        <w:numPr>
          <w:ilvl w:val="0"/>
          <w:numId w:val="41"/>
        </w:numPr>
      </w:pPr>
      <w:r>
        <w:t>Apply various methods for vulnerability assessment.</w:t>
      </w:r>
    </w:p>
    <w:p w14:paraId="0217DD72" w14:textId="77777777" w:rsidR="00703494" w:rsidRDefault="00703494" w:rsidP="00703494">
      <w:pPr>
        <w:pStyle w:val="ListParagraph"/>
        <w:numPr>
          <w:ilvl w:val="0"/>
          <w:numId w:val="41"/>
        </w:numPr>
      </w:pPr>
      <w:r>
        <w:t>Generate risk maps for risk-informed decision making.</w:t>
      </w:r>
    </w:p>
    <w:p w14:paraId="6896FE08" w14:textId="77777777" w:rsidR="00703494" w:rsidRDefault="00703494" w:rsidP="00703494">
      <w:pPr>
        <w:pStyle w:val="ListParagraph"/>
        <w:numPr>
          <w:ilvl w:val="0"/>
          <w:numId w:val="41"/>
        </w:numPr>
      </w:pPr>
      <w:r>
        <w:t>Understand how risk changes when risk reduction alternatives are adopted.</w:t>
      </w:r>
    </w:p>
    <w:p w14:paraId="039C6BC7" w14:textId="77777777" w:rsidR="00703494" w:rsidRDefault="00703494" w:rsidP="00703494">
      <w:pPr>
        <w:pStyle w:val="ListParagraph"/>
        <w:numPr>
          <w:ilvl w:val="0"/>
          <w:numId w:val="41"/>
        </w:numPr>
      </w:pPr>
      <w:r>
        <w:t>Have insight into how a risk assessment could be carried out considering future changes.</w:t>
      </w:r>
    </w:p>
    <w:p w14:paraId="22DF66DE" w14:textId="77777777" w:rsidR="00703494" w:rsidRPr="0001430D" w:rsidRDefault="00703494" w:rsidP="00703494"/>
    <w:p w14:paraId="6F7A279D" w14:textId="77777777" w:rsidR="00703494" w:rsidRPr="00D311A5" w:rsidRDefault="00703494" w:rsidP="00703494">
      <w:pPr>
        <w:pStyle w:val="Heading3"/>
        <w:rPr>
          <w:b/>
          <w:bCs/>
          <w:color w:val="2F5496" w:themeColor="accent1" w:themeShade="BF"/>
          <w:sz w:val="32"/>
          <w:szCs w:val="32"/>
        </w:rPr>
      </w:pPr>
      <w:r w:rsidRPr="00D311A5">
        <w:rPr>
          <w:b/>
          <w:bCs/>
          <w:color w:val="2F5496" w:themeColor="accent1" w:themeShade="BF"/>
          <w:sz w:val="32"/>
          <w:szCs w:val="32"/>
        </w:rPr>
        <w:t>Resource Persons</w:t>
      </w:r>
    </w:p>
    <w:p w14:paraId="3C4EB17D" w14:textId="77777777" w:rsidR="00703494" w:rsidRDefault="00703494" w:rsidP="00703494">
      <w:r w:rsidRPr="0001430D">
        <w:t>Prof. Cees van Westen, Department of Earth System Analysis (ITC), University of Twente</w:t>
      </w:r>
      <w:r w:rsidRPr="0001430D">
        <w:br/>
        <w:t xml:space="preserve">Dr. Manzul Hazarika, Director, Geoinformatics Center, Asian Institute of </w:t>
      </w:r>
      <w:r>
        <w:t>Technology</w:t>
      </w:r>
    </w:p>
    <w:p w14:paraId="31FBE134" w14:textId="77777777" w:rsidR="00703494" w:rsidRDefault="00703494" w:rsidP="00703494">
      <w:r>
        <w:t xml:space="preserve">Mr. Anish Ratna Shakya, Research Associate, </w:t>
      </w:r>
      <w:r w:rsidRPr="0001430D">
        <w:t xml:space="preserve">Geoinformatics Center, Asian Institute of </w:t>
      </w:r>
      <w:r>
        <w:t>Technology</w:t>
      </w:r>
    </w:p>
    <w:p w14:paraId="26FB44BC" w14:textId="77777777" w:rsidR="00703494" w:rsidRPr="0001430D" w:rsidRDefault="00703494" w:rsidP="00703494"/>
    <w:p w14:paraId="1088A6A8" w14:textId="77777777" w:rsidR="00703494" w:rsidRPr="00D311A5" w:rsidRDefault="00703494" w:rsidP="00703494">
      <w:pPr>
        <w:pStyle w:val="Heading3"/>
        <w:rPr>
          <w:b/>
          <w:bCs/>
          <w:color w:val="2F5496" w:themeColor="accent1" w:themeShade="BF"/>
          <w:sz w:val="32"/>
          <w:szCs w:val="32"/>
        </w:rPr>
      </w:pPr>
      <w:r w:rsidRPr="00D311A5">
        <w:rPr>
          <w:b/>
          <w:bCs/>
          <w:color w:val="2F5496" w:themeColor="accent1" w:themeShade="BF"/>
          <w:sz w:val="32"/>
          <w:szCs w:val="32"/>
        </w:rPr>
        <w:t>Participants’ profiles</w:t>
      </w:r>
    </w:p>
    <w:p w14:paraId="656E4402" w14:textId="77777777" w:rsidR="00703494" w:rsidRDefault="00703494" w:rsidP="00703494">
      <w:r w:rsidRPr="00E75DB0">
        <w:t xml:space="preserve">The </w:t>
      </w:r>
      <w:r>
        <w:t>t</w:t>
      </w:r>
      <w:r w:rsidRPr="00E75DB0">
        <w:t xml:space="preserve">raining is open to government officials from ministries and departments responsible for disaster management, and </w:t>
      </w:r>
      <w:r w:rsidRPr="00CB67F2">
        <w:t xml:space="preserve">professionals working </w:t>
      </w:r>
      <w:r>
        <w:t xml:space="preserve">as </w:t>
      </w:r>
      <w:r w:rsidRPr="00CB67F2">
        <w:t>urban planners, engineers, architects, geographers, environmental specialists, university teachers etc.</w:t>
      </w:r>
    </w:p>
    <w:p w14:paraId="5233FDC8" w14:textId="77777777" w:rsidR="00703494" w:rsidRPr="0001430D" w:rsidRDefault="00703494" w:rsidP="00703494"/>
    <w:p w14:paraId="2F9BC191" w14:textId="77777777" w:rsidR="00703494" w:rsidRPr="00D311A5" w:rsidRDefault="00703494" w:rsidP="00703494">
      <w:pPr>
        <w:pStyle w:val="Heading3"/>
        <w:rPr>
          <w:b/>
          <w:bCs/>
          <w:color w:val="2F5496" w:themeColor="accent1" w:themeShade="BF"/>
          <w:sz w:val="32"/>
          <w:szCs w:val="32"/>
        </w:rPr>
      </w:pPr>
      <w:r w:rsidRPr="00D311A5">
        <w:rPr>
          <w:b/>
          <w:bCs/>
          <w:color w:val="2F5496" w:themeColor="accent1" w:themeShade="BF"/>
          <w:sz w:val="32"/>
          <w:szCs w:val="32"/>
        </w:rPr>
        <w:t>Modality</w:t>
      </w:r>
    </w:p>
    <w:p w14:paraId="055D9E56" w14:textId="3EB72250" w:rsidR="00703494" w:rsidRDefault="00703494" w:rsidP="00703494">
      <w:r>
        <w:t>T</w:t>
      </w:r>
      <w:r w:rsidRPr="0001430D">
        <w:t xml:space="preserve">he training will be organized </w:t>
      </w:r>
      <w:r>
        <w:t>at</w:t>
      </w:r>
      <w:r w:rsidR="00E54209">
        <w:t xml:space="preserve"> the Institute of Engineering of Tribhuvan University, </w:t>
      </w:r>
      <w:r w:rsidR="00E54209" w:rsidRPr="00E54209">
        <w:t xml:space="preserve">Pulchowk Campus </w:t>
      </w:r>
      <w:r w:rsidRPr="0001430D">
        <w:t xml:space="preserve">and learning materials will be stored in the CANVAS platform.  </w:t>
      </w:r>
    </w:p>
    <w:p w14:paraId="739007BB" w14:textId="77777777" w:rsidR="00703494" w:rsidRDefault="00703494" w:rsidP="00703494"/>
    <w:p w14:paraId="77857D80" w14:textId="77777777" w:rsidR="00703494" w:rsidRPr="00D311A5" w:rsidRDefault="00703494" w:rsidP="00703494">
      <w:pPr>
        <w:pStyle w:val="Heading3"/>
        <w:rPr>
          <w:b/>
          <w:bCs/>
          <w:color w:val="2F5496" w:themeColor="accent1" w:themeShade="BF"/>
          <w:sz w:val="32"/>
          <w:szCs w:val="32"/>
        </w:rPr>
      </w:pPr>
      <w:r w:rsidRPr="00D311A5">
        <w:rPr>
          <w:b/>
          <w:bCs/>
          <w:color w:val="2F5496" w:themeColor="accent1" w:themeShade="BF"/>
          <w:sz w:val="32"/>
          <w:szCs w:val="32"/>
        </w:rPr>
        <w:t>Certification</w:t>
      </w:r>
    </w:p>
    <w:p w14:paraId="572C9F58" w14:textId="77777777" w:rsidR="00703494" w:rsidRDefault="00703494" w:rsidP="00703494">
      <w:r w:rsidRPr="0001430D">
        <w:t>A certification of completion will be issued to participants who met the evaluation criteria.</w:t>
      </w:r>
    </w:p>
    <w:p w14:paraId="65E9D8F2" w14:textId="77777777" w:rsidR="00703494" w:rsidRDefault="00703494" w:rsidP="00703494">
      <w:pPr>
        <w:rPr>
          <w:rFonts w:ascii="Myriad Pro" w:eastAsia="Times New Roman" w:hAnsi="Myriad Pro" w:cs="Open Sans"/>
          <w:color w:val="000000"/>
          <w:sz w:val="20"/>
          <w:szCs w:val="20"/>
        </w:rPr>
      </w:pPr>
    </w:p>
    <w:p w14:paraId="57349DEB" w14:textId="77777777" w:rsidR="00703494" w:rsidRPr="00D311A5" w:rsidRDefault="00703494" w:rsidP="00703494">
      <w:pPr>
        <w:pStyle w:val="Heading3"/>
        <w:rPr>
          <w:b/>
          <w:bCs/>
          <w:color w:val="2F5496" w:themeColor="accent1" w:themeShade="BF"/>
          <w:sz w:val="32"/>
          <w:szCs w:val="32"/>
        </w:rPr>
      </w:pPr>
      <w:r w:rsidRPr="00D311A5">
        <w:rPr>
          <w:b/>
          <w:bCs/>
          <w:color w:val="2F5496" w:themeColor="accent1" w:themeShade="BF"/>
          <w:sz w:val="32"/>
          <w:szCs w:val="32"/>
        </w:rPr>
        <w:t>For information, please contact:</w:t>
      </w:r>
    </w:p>
    <w:p w14:paraId="189B30B1" w14:textId="77777777" w:rsidR="00703494" w:rsidRDefault="00703494" w:rsidP="00703494">
      <w:r w:rsidRPr="00E36F46">
        <w:t>Ms. Nuankae Wongthawatchai, Programme Officer, APCICT/ESCAP</w:t>
      </w:r>
      <w:r>
        <w:t xml:space="preserve"> </w:t>
      </w:r>
      <w:hyperlink r:id="rId15" w:history="1">
        <w:r w:rsidRPr="00E97010">
          <w:rPr>
            <w:rStyle w:val="Hyperlink"/>
          </w:rPr>
          <w:t>wongthawatchai@un.org</w:t>
        </w:r>
      </w:hyperlink>
      <w:r>
        <w:t xml:space="preserve"> </w:t>
      </w:r>
      <w:r w:rsidRPr="00E36F46">
        <w:t xml:space="preserve"> </w:t>
      </w:r>
      <w:r>
        <w:t xml:space="preserve"> </w:t>
      </w:r>
    </w:p>
    <w:p w14:paraId="14A7B47F" w14:textId="77777777" w:rsidR="00703494" w:rsidRDefault="00703494" w:rsidP="00703494"/>
    <w:p w14:paraId="00C4167A" w14:textId="77777777" w:rsidR="00703494" w:rsidRDefault="00703494" w:rsidP="00703494">
      <w:pPr>
        <w:rPr>
          <w:rFonts w:ascii="Myriad Pro" w:eastAsia="Times New Roman" w:hAnsi="Myriad Pro" w:cs="Open Sans"/>
          <w:color w:val="000000"/>
          <w:sz w:val="20"/>
          <w:szCs w:val="20"/>
        </w:rPr>
      </w:pPr>
    </w:p>
    <w:p w14:paraId="7D9EEB7B" w14:textId="77777777" w:rsidR="00703494" w:rsidRDefault="00703494" w:rsidP="00703494">
      <w:pPr>
        <w:rPr>
          <w:rFonts w:ascii="Myriad Pro" w:eastAsiaTheme="majorEastAsia" w:hAnsi="Myriad Pro" w:cstheme="majorBidi"/>
          <w:b/>
          <w:color w:val="1F3763" w:themeColor="accent1" w:themeShade="7F"/>
          <w:lang w:val="en-US"/>
        </w:rPr>
      </w:pPr>
      <w:r>
        <w:rPr>
          <w:lang w:val="en-US"/>
        </w:rPr>
        <w:br w:type="page"/>
      </w:r>
    </w:p>
    <w:p w14:paraId="54BCD17C" w14:textId="77777777" w:rsidR="00703494" w:rsidRPr="00D311A5" w:rsidRDefault="00703494" w:rsidP="00D311A5">
      <w:pPr>
        <w:pStyle w:val="Heading3"/>
        <w:jc w:val="center"/>
        <w:rPr>
          <w:b/>
          <w:bCs/>
          <w:color w:val="2F5496" w:themeColor="accent1" w:themeShade="BF"/>
          <w:sz w:val="32"/>
          <w:szCs w:val="32"/>
        </w:rPr>
      </w:pPr>
      <w:r w:rsidRPr="00D311A5">
        <w:rPr>
          <w:b/>
          <w:bCs/>
          <w:color w:val="2F5496" w:themeColor="accent1" w:themeShade="BF"/>
          <w:sz w:val="32"/>
          <w:szCs w:val="32"/>
        </w:rPr>
        <w:lastRenderedPageBreak/>
        <w:t>Tentative Programme</w:t>
      </w:r>
    </w:p>
    <w:p w14:paraId="7C6131CF" w14:textId="77777777" w:rsidR="00703494" w:rsidRPr="007314ED" w:rsidRDefault="00703494" w:rsidP="00703494">
      <w:pPr>
        <w:spacing w:before="240" w:after="160" w:line="259" w:lineRule="auto"/>
        <w:rPr>
          <w:rFonts w:cs="Open Sans"/>
          <w:kern w:val="2"/>
          <w:szCs w:val="22"/>
          <w:lang w:val="en-US"/>
          <w14:ligatures w14:val="standardContextual"/>
        </w:rPr>
      </w:pPr>
      <w:r w:rsidRPr="007314ED">
        <w:rPr>
          <w:rFonts w:cs="Open Sans"/>
          <w:kern w:val="2"/>
          <w:szCs w:val="22"/>
          <w:lang w:val="en-US"/>
          <w14:ligatures w14:val="standardContextual"/>
        </w:rPr>
        <w:t>Day 1</w:t>
      </w:r>
    </w:p>
    <w:tbl>
      <w:tblPr>
        <w:tblW w:w="99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6460"/>
        <w:gridCol w:w="2002"/>
      </w:tblGrid>
      <w:tr w:rsidR="00703494" w:rsidRPr="007314ED" w14:paraId="0C8F875F" w14:textId="77777777" w:rsidTr="00C533C9">
        <w:trPr>
          <w:trHeight w:val="153"/>
        </w:trPr>
        <w:tc>
          <w:tcPr>
            <w:tcW w:w="1535" w:type="dxa"/>
            <w:shd w:val="clear" w:color="auto" w:fill="auto"/>
            <w:noWrap/>
          </w:tcPr>
          <w:p w14:paraId="37C0BFD2" w14:textId="77777777" w:rsidR="00703494" w:rsidRPr="007314ED" w:rsidRDefault="00703494" w:rsidP="00C533C9">
            <w:pPr>
              <w:jc w:val="center"/>
              <w:rPr>
                <w:rFonts w:eastAsia="Times New Roman" w:cs="Open Sans"/>
                <w:b/>
                <w:bCs/>
                <w:color w:val="000000"/>
                <w:szCs w:val="22"/>
                <w:lang w:val="en-US"/>
              </w:rPr>
            </w:pPr>
            <w:r w:rsidRPr="007314ED">
              <w:rPr>
                <w:rFonts w:eastAsia="Times New Roman" w:cs="Open Sans"/>
                <w:b/>
                <w:bCs/>
                <w:color w:val="000000"/>
                <w:szCs w:val="22"/>
                <w:lang w:val="en-US"/>
              </w:rPr>
              <w:t>Time</w:t>
            </w:r>
          </w:p>
        </w:tc>
        <w:tc>
          <w:tcPr>
            <w:tcW w:w="6460" w:type="dxa"/>
            <w:shd w:val="clear" w:color="auto" w:fill="auto"/>
            <w:noWrap/>
          </w:tcPr>
          <w:p w14:paraId="788BAB3C" w14:textId="77777777" w:rsidR="00703494" w:rsidRPr="007314ED" w:rsidRDefault="00703494" w:rsidP="00C533C9">
            <w:pPr>
              <w:jc w:val="center"/>
              <w:rPr>
                <w:rFonts w:eastAsia="Times New Roman" w:cs="Open Sans"/>
                <w:b/>
                <w:bCs/>
                <w:color w:val="000000"/>
                <w:szCs w:val="22"/>
                <w:lang w:val="en-US"/>
              </w:rPr>
            </w:pPr>
            <w:r w:rsidRPr="007314ED">
              <w:rPr>
                <w:rFonts w:eastAsia="Times New Roman" w:cs="Open Sans"/>
                <w:b/>
                <w:bCs/>
                <w:color w:val="000000"/>
                <w:szCs w:val="22"/>
                <w:lang w:val="en-US"/>
              </w:rPr>
              <w:t>Description</w:t>
            </w:r>
          </w:p>
        </w:tc>
        <w:tc>
          <w:tcPr>
            <w:tcW w:w="2002" w:type="dxa"/>
            <w:shd w:val="clear" w:color="auto" w:fill="auto"/>
            <w:noWrap/>
          </w:tcPr>
          <w:p w14:paraId="213515BC" w14:textId="77777777" w:rsidR="00703494" w:rsidRPr="007314ED" w:rsidRDefault="00703494" w:rsidP="00C533C9">
            <w:pPr>
              <w:rPr>
                <w:rFonts w:eastAsia="Times New Roman" w:cs="Open Sans"/>
                <w:b/>
                <w:bCs/>
                <w:color w:val="000000"/>
                <w:szCs w:val="22"/>
                <w:lang w:val="en-US"/>
              </w:rPr>
            </w:pPr>
            <w:r w:rsidRPr="007314ED">
              <w:rPr>
                <w:rFonts w:eastAsia="Times New Roman" w:cs="Open Sans"/>
                <w:b/>
                <w:bCs/>
                <w:color w:val="000000"/>
                <w:szCs w:val="22"/>
                <w:lang w:val="en-US"/>
              </w:rPr>
              <w:t>Resource Person</w:t>
            </w:r>
          </w:p>
        </w:tc>
      </w:tr>
      <w:tr w:rsidR="00703494" w:rsidRPr="007314ED" w14:paraId="715902C3" w14:textId="77777777" w:rsidTr="00C533C9">
        <w:trPr>
          <w:trHeight w:val="153"/>
        </w:trPr>
        <w:tc>
          <w:tcPr>
            <w:tcW w:w="1535" w:type="dxa"/>
            <w:shd w:val="clear" w:color="auto" w:fill="auto"/>
            <w:noWrap/>
            <w:hideMark/>
          </w:tcPr>
          <w:p w14:paraId="7948F238" w14:textId="5E35DBD3"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9.00 -10.</w:t>
            </w:r>
            <w:r w:rsidR="005F370E">
              <w:rPr>
                <w:rFonts w:eastAsia="Times New Roman" w:cs="Open Sans"/>
                <w:color w:val="000000"/>
                <w:szCs w:val="22"/>
                <w:lang w:val="en-US"/>
              </w:rPr>
              <w:t>3</w:t>
            </w:r>
            <w:r w:rsidRPr="007314ED">
              <w:rPr>
                <w:rFonts w:eastAsia="Times New Roman" w:cs="Open Sans"/>
                <w:color w:val="000000"/>
                <w:szCs w:val="22"/>
                <w:lang w:val="en-US"/>
              </w:rPr>
              <w:t>0</w:t>
            </w:r>
          </w:p>
        </w:tc>
        <w:tc>
          <w:tcPr>
            <w:tcW w:w="6460" w:type="dxa"/>
            <w:shd w:val="clear" w:color="000000" w:fill="B4C6E7"/>
            <w:noWrap/>
            <w:hideMark/>
          </w:tcPr>
          <w:p w14:paraId="7E813CB6"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Participation Introduction and Introduction to MHRA for Risk Reduction Planning</w:t>
            </w:r>
          </w:p>
        </w:tc>
        <w:tc>
          <w:tcPr>
            <w:tcW w:w="2002" w:type="dxa"/>
            <w:shd w:val="clear" w:color="000000" w:fill="B4C6E7"/>
            <w:noWrap/>
            <w:hideMark/>
          </w:tcPr>
          <w:p w14:paraId="3F030163"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Cees</w:t>
            </w:r>
          </w:p>
        </w:tc>
      </w:tr>
      <w:tr w:rsidR="00703494" w:rsidRPr="007314ED" w14:paraId="1AC37088" w14:textId="77777777" w:rsidTr="00C533C9">
        <w:trPr>
          <w:trHeight w:val="153"/>
        </w:trPr>
        <w:tc>
          <w:tcPr>
            <w:tcW w:w="1535" w:type="dxa"/>
            <w:shd w:val="clear" w:color="auto" w:fill="auto"/>
            <w:noWrap/>
            <w:hideMark/>
          </w:tcPr>
          <w:p w14:paraId="7ECBDDD5"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10.30 -10.50</w:t>
            </w:r>
          </w:p>
        </w:tc>
        <w:tc>
          <w:tcPr>
            <w:tcW w:w="8462" w:type="dxa"/>
            <w:gridSpan w:val="2"/>
            <w:shd w:val="clear" w:color="000000" w:fill="F8CBAD"/>
            <w:noWrap/>
            <w:hideMark/>
          </w:tcPr>
          <w:p w14:paraId="6E0A4344"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Break</w:t>
            </w:r>
          </w:p>
        </w:tc>
      </w:tr>
      <w:tr w:rsidR="00703494" w:rsidRPr="007314ED" w14:paraId="45EA702E" w14:textId="77777777" w:rsidTr="00C533C9">
        <w:trPr>
          <w:trHeight w:val="153"/>
        </w:trPr>
        <w:tc>
          <w:tcPr>
            <w:tcW w:w="1535" w:type="dxa"/>
            <w:shd w:val="clear" w:color="auto" w:fill="auto"/>
            <w:noWrap/>
            <w:hideMark/>
          </w:tcPr>
          <w:p w14:paraId="56C0C960"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10.50 -12.00</w:t>
            </w:r>
          </w:p>
        </w:tc>
        <w:tc>
          <w:tcPr>
            <w:tcW w:w="6460" w:type="dxa"/>
            <w:shd w:val="clear" w:color="000000" w:fill="B4C6E7"/>
            <w:noWrap/>
            <w:hideMark/>
          </w:tcPr>
          <w:p w14:paraId="3CFA5C04" w14:textId="56E6D483"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Lecture: Multi-hazard Assessment</w:t>
            </w:r>
            <w:r w:rsidR="00D65B3B">
              <w:rPr>
                <w:rFonts w:eastAsia="Times New Roman" w:cs="Open Sans"/>
                <w:color w:val="000000"/>
                <w:szCs w:val="22"/>
                <w:lang w:val="en-US"/>
              </w:rPr>
              <w:t xml:space="preserve"> </w:t>
            </w:r>
          </w:p>
        </w:tc>
        <w:tc>
          <w:tcPr>
            <w:tcW w:w="2002" w:type="dxa"/>
            <w:shd w:val="clear" w:color="000000" w:fill="B4C6E7"/>
            <w:noWrap/>
            <w:hideMark/>
          </w:tcPr>
          <w:p w14:paraId="6BA8CDC2"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Cees</w:t>
            </w:r>
          </w:p>
        </w:tc>
      </w:tr>
      <w:tr w:rsidR="00703494" w:rsidRPr="007314ED" w14:paraId="7EE4EB94" w14:textId="77777777" w:rsidTr="00C533C9">
        <w:trPr>
          <w:trHeight w:val="153"/>
        </w:trPr>
        <w:tc>
          <w:tcPr>
            <w:tcW w:w="1535" w:type="dxa"/>
            <w:shd w:val="clear" w:color="auto" w:fill="auto"/>
            <w:noWrap/>
            <w:hideMark/>
          </w:tcPr>
          <w:p w14:paraId="4DDE7358"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12.00 - 13.30</w:t>
            </w:r>
          </w:p>
        </w:tc>
        <w:tc>
          <w:tcPr>
            <w:tcW w:w="8462" w:type="dxa"/>
            <w:gridSpan w:val="2"/>
            <w:shd w:val="clear" w:color="000000" w:fill="F8CBAD"/>
            <w:noWrap/>
            <w:hideMark/>
          </w:tcPr>
          <w:p w14:paraId="69FBE09E"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Lunch break</w:t>
            </w:r>
          </w:p>
        </w:tc>
      </w:tr>
      <w:tr w:rsidR="00703494" w:rsidRPr="007314ED" w14:paraId="10CF6DE7" w14:textId="77777777" w:rsidTr="000B5AD7">
        <w:trPr>
          <w:trHeight w:val="153"/>
        </w:trPr>
        <w:tc>
          <w:tcPr>
            <w:tcW w:w="1535" w:type="dxa"/>
            <w:shd w:val="clear" w:color="auto" w:fill="auto"/>
            <w:noWrap/>
            <w:hideMark/>
          </w:tcPr>
          <w:p w14:paraId="2F2E9955" w14:textId="6B6FF861"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13.30 - 1</w:t>
            </w:r>
            <w:r w:rsidR="00002F2D">
              <w:rPr>
                <w:rFonts w:eastAsia="Times New Roman" w:cs="Open Sans"/>
                <w:color w:val="000000"/>
                <w:szCs w:val="22"/>
                <w:lang w:val="en-US"/>
              </w:rPr>
              <w:t>4</w:t>
            </w:r>
            <w:r w:rsidRPr="007314ED">
              <w:rPr>
                <w:rFonts w:eastAsia="Times New Roman" w:cs="Open Sans"/>
                <w:color w:val="000000"/>
                <w:szCs w:val="22"/>
                <w:lang w:val="en-US"/>
              </w:rPr>
              <w:t>.</w:t>
            </w:r>
            <w:r w:rsidR="00002F2D">
              <w:rPr>
                <w:rFonts w:eastAsia="Times New Roman" w:cs="Open Sans"/>
                <w:color w:val="000000"/>
                <w:szCs w:val="22"/>
                <w:lang w:val="en-US"/>
              </w:rPr>
              <w:t>3</w:t>
            </w:r>
            <w:r w:rsidRPr="007314ED">
              <w:rPr>
                <w:rFonts w:eastAsia="Times New Roman" w:cs="Open Sans"/>
                <w:color w:val="000000"/>
                <w:szCs w:val="22"/>
                <w:lang w:val="en-US"/>
              </w:rPr>
              <w:t>0</w:t>
            </w:r>
          </w:p>
        </w:tc>
        <w:tc>
          <w:tcPr>
            <w:tcW w:w="6460" w:type="dxa"/>
            <w:shd w:val="clear" w:color="auto" w:fill="B4C6E7" w:themeFill="accent1" w:themeFillTint="66"/>
            <w:noWrap/>
            <w:hideMark/>
          </w:tcPr>
          <w:p w14:paraId="29BD226E" w14:textId="2F796334" w:rsidR="00703494" w:rsidRPr="007314ED" w:rsidRDefault="000B5AD7" w:rsidP="00C533C9">
            <w:pPr>
              <w:rPr>
                <w:rFonts w:eastAsia="Times New Roman" w:cs="Open Sans"/>
                <w:color w:val="000000"/>
                <w:szCs w:val="22"/>
                <w:lang w:val="en-US"/>
              </w:rPr>
            </w:pPr>
            <w:r>
              <w:rPr>
                <w:rFonts w:eastAsia="Times New Roman" w:cs="Open Sans"/>
                <w:color w:val="000000"/>
                <w:szCs w:val="22"/>
                <w:lang w:val="en-US"/>
              </w:rPr>
              <w:t>Lecture on Bipad Portal</w:t>
            </w:r>
          </w:p>
        </w:tc>
        <w:tc>
          <w:tcPr>
            <w:tcW w:w="2002" w:type="dxa"/>
            <w:shd w:val="clear" w:color="auto" w:fill="B4C6E7" w:themeFill="accent1" w:themeFillTint="66"/>
            <w:noWrap/>
            <w:hideMark/>
          </w:tcPr>
          <w:p w14:paraId="57DE938D" w14:textId="314442D3" w:rsidR="00703494" w:rsidRPr="007314ED" w:rsidRDefault="00002F2D" w:rsidP="00C533C9">
            <w:pPr>
              <w:rPr>
                <w:rFonts w:eastAsia="Times New Roman" w:cs="Open Sans"/>
                <w:color w:val="000000"/>
                <w:szCs w:val="22"/>
                <w:lang w:val="en-US"/>
              </w:rPr>
            </w:pPr>
            <w:r>
              <w:rPr>
                <w:rFonts w:eastAsia="Times New Roman" w:cs="Open Sans"/>
                <w:color w:val="000000"/>
                <w:szCs w:val="22"/>
                <w:lang w:val="en-US"/>
              </w:rPr>
              <w:t>YIL</w:t>
            </w:r>
            <w:r w:rsidR="001D6F2F">
              <w:rPr>
                <w:rFonts w:eastAsia="Times New Roman" w:cs="Open Sans"/>
                <w:color w:val="000000"/>
                <w:szCs w:val="22"/>
                <w:lang w:val="en-US"/>
              </w:rPr>
              <w:t xml:space="preserve"> (TBD)</w:t>
            </w:r>
          </w:p>
        </w:tc>
      </w:tr>
      <w:tr w:rsidR="00002F2D" w:rsidRPr="007314ED" w14:paraId="368B949A" w14:textId="77777777" w:rsidTr="00C533C9">
        <w:trPr>
          <w:trHeight w:val="153"/>
        </w:trPr>
        <w:tc>
          <w:tcPr>
            <w:tcW w:w="1535" w:type="dxa"/>
            <w:shd w:val="clear" w:color="auto" w:fill="auto"/>
            <w:noWrap/>
          </w:tcPr>
          <w:p w14:paraId="3BBB6FD9" w14:textId="77787CBE" w:rsidR="00002F2D" w:rsidRPr="007314ED" w:rsidRDefault="00002F2D" w:rsidP="00C533C9">
            <w:pPr>
              <w:rPr>
                <w:rFonts w:eastAsia="Times New Roman" w:cs="Open Sans"/>
                <w:color w:val="000000"/>
                <w:szCs w:val="22"/>
                <w:lang w:val="en-US"/>
              </w:rPr>
            </w:pPr>
            <w:r>
              <w:rPr>
                <w:rFonts w:eastAsia="Times New Roman" w:cs="Open Sans"/>
                <w:color w:val="000000"/>
                <w:szCs w:val="22"/>
                <w:lang w:val="en-US"/>
              </w:rPr>
              <w:t>14.30</w:t>
            </w:r>
            <w:r w:rsidR="000B5AD7">
              <w:rPr>
                <w:rFonts w:eastAsia="Times New Roman" w:cs="Open Sans"/>
                <w:color w:val="000000"/>
                <w:szCs w:val="22"/>
                <w:lang w:val="en-US"/>
              </w:rPr>
              <w:t xml:space="preserve"> </w:t>
            </w:r>
            <w:r>
              <w:rPr>
                <w:rFonts w:eastAsia="Times New Roman" w:cs="Open Sans"/>
                <w:color w:val="000000"/>
                <w:szCs w:val="22"/>
                <w:lang w:val="en-US"/>
              </w:rPr>
              <w:t>-</w:t>
            </w:r>
            <w:r w:rsidR="000B5AD7">
              <w:rPr>
                <w:rFonts w:eastAsia="Times New Roman" w:cs="Open Sans"/>
                <w:color w:val="000000"/>
                <w:szCs w:val="22"/>
                <w:lang w:val="en-US"/>
              </w:rPr>
              <w:t xml:space="preserve"> </w:t>
            </w:r>
            <w:r>
              <w:rPr>
                <w:rFonts w:eastAsia="Times New Roman" w:cs="Open Sans"/>
                <w:color w:val="000000"/>
                <w:szCs w:val="22"/>
                <w:lang w:val="en-US"/>
              </w:rPr>
              <w:t>15.00</w:t>
            </w:r>
          </w:p>
        </w:tc>
        <w:tc>
          <w:tcPr>
            <w:tcW w:w="6460" w:type="dxa"/>
            <w:shd w:val="clear" w:color="auto" w:fill="C5E0B3" w:themeFill="accent6" w:themeFillTint="66"/>
            <w:noWrap/>
          </w:tcPr>
          <w:p w14:paraId="20BEA430" w14:textId="2F88B926" w:rsidR="00002F2D" w:rsidRPr="007314ED" w:rsidRDefault="00002F2D" w:rsidP="00C533C9">
            <w:pPr>
              <w:rPr>
                <w:rFonts w:eastAsia="Times New Roman" w:cs="Open Sans"/>
                <w:color w:val="000000"/>
                <w:szCs w:val="22"/>
                <w:lang w:val="en-US"/>
              </w:rPr>
            </w:pPr>
            <w:r w:rsidRPr="007314ED">
              <w:rPr>
                <w:rFonts w:eastAsia="Times New Roman" w:cs="Open Sans"/>
                <w:color w:val="000000"/>
                <w:szCs w:val="22"/>
                <w:lang w:val="en-US"/>
              </w:rPr>
              <w:t>Flood mapping FastFlood</w:t>
            </w:r>
          </w:p>
        </w:tc>
        <w:tc>
          <w:tcPr>
            <w:tcW w:w="2002" w:type="dxa"/>
            <w:shd w:val="clear" w:color="auto" w:fill="C5E0B3" w:themeFill="accent6" w:themeFillTint="66"/>
            <w:noWrap/>
          </w:tcPr>
          <w:p w14:paraId="4CAD7C6F" w14:textId="6ADCE5EC" w:rsidR="00002F2D" w:rsidRPr="007314ED" w:rsidRDefault="00002F2D" w:rsidP="00C533C9">
            <w:pPr>
              <w:rPr>
                <w:rFonts w:eastAsia="Times New Roman" w:cs="Open Sans"/>
                <w:color w:val="000000"/>
                <w:szCs w:val="22"/>
                <w:lang w:val="en-US"/>
              </w:rPr>
            </w:pPr>
            <w:r>
              <w:rPr>
                <w:rFonts w:eastAsia="Times New Roman" w:cs="Open Sans"/>
                <w:color w:val="000000"/>
                <w:szCs w:val="22"/>
                <w:lang w:val="en-US"/>
              </w:rPr>
              <w:t>Anish</w:t>
            </w:r>
          </w:p>
        </w:tc>
      </w:tr>
      <w:tr w:rsidR="00703494" w:rsidRPr="007314ED" w14:paraId="4B2025F3" w14:textId="77777777" w:rsidTr="00C533C9">
        <w:trPr>
          <w:trHeight w:val="153"/>
        </w:trPr>
        <w:tc>
          <w:tcPr>
            <w:tcW w:w="1535" w:type="dxa"/>
            <w:shd w:val="clear" w:color="auto" w:fill="auto"/>
            <w:noWrap/>
            <w:hideMark/>
          </w:tcPr>
          <w:p w14:paraId="00B7FD0E"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15.00 - 15.20</w:t>
            </w:r>
          </w:p>
        </w:tc>
        <w:tc>
          <w:tcPr>
            <w:tcW w:w="8462" w:type="dxa"/>
            <w:gridSpan w:val="2"/>
            <w:shd w:val="clear" w:color="000000" w:fill="F8CBAD"/>
            <w:noWrap/>
            <w:hideMark/>
          </w:tcPr>
          <w:p w14:paraId="2D73B62A"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Break</w:t>
            </w:r>
          </w:p>
        </w:tc>
      </w:tr>
      <w:tr w:rsidR="00703494" w:rsidRPr="007314ED" w14:paraId="17482EA4" w14:textId="77777777" w:rsidTr="00C533C9">
        <w:trPr>
          <w:trHeight w:val="161"/>
        </w:trPr>
        <w:tc>
          <w:tcPr>
            <w:tcW w:w="1535" w:type="dxa"/>
            <w:shd w:val="clear" w:color="auto" w:fill="auto"/>
            <w:noWrap/>
            <w:hideMark/>
          </w:tcPr>
          <w:p w14:paraId="2B5CC591"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15.20 - 17.00</w:t>
            </w:r>
          </w:p>
        </w:tc>
        <w:tc>
          <w:tcPr>
            <w:tcW w:w="6460" w:type="dxa"/>
            <w:shd w:val="clear" w:color="auto" w:fill="C5E0B3" w:themeFill="accent6" w:themeFillTint="66"/>
            <w:noWrap/>
            <w:hideMark/>
          </w:tcPr>
          <w:p w14:paraId="21140539"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Practical: Registration in RiskChanges, Entering hazard input data in RiskChanges (demo dataset)</w:t>
            </w:r>
          </w:p>
        </w:tc>
        <w:tc>
          <w:tcPr>
            <w:tcW w:w="2002" w:type="dxa"/>
            <w:shd w:val="clear" w:color="auto" w:fill="C5E0B3" w:themeFill="accent6" w:themeFillTint="66"/>
            <w:noWrap/>
            <w:hideMark/>
          </w:tcPr>
          <w:p w14:paraId="1819225E"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Anish, Rabina</w:t>
            </w:r>
          </w:p>
        </w:tc>
      </w:tr>
    </w:tbl>
    <w:p w14:paraId="47320FC9" w14:textId="77777777" w:rsidR="00703494" w:rsidRPr="007314ED" w:rsidRDefault="00703494" w:rsidP="00703494">
      <w:pPr>
        <w:spacing w:line="259" w:lineRule="auto"/>
        <w:rPr>
          <w:rFonts w:cs="Open Sans"/>
          <w:kern w:val="2"/>
          <w:szCs w:val="22"/>
          <w:lang w:val="en-US"/>
          <w14:ligatures w14:val="standardContextual"/>
        </w:rPr>
      </w:pPr>
    </w:p>
    <w:p w14:paraId="6694736D" w14:textId="77777777" w:rsidR="00703494" w:rsidRPr="007314ED" w:rsidRDefault="00703494" w:rsidP="00703494">
      <w:pPr>
        <w:spacing w:after="160" w:line="259" w:lineRule="auto"/>
        <w:rPr>
          <w:rFonts w:cs="Open Sans"/>
          <w:kern w:val="2"/>
          <w:szCs w:val="22"/>
          <w:lang w:val="en-US"/>
          <w14:ligatures w14:val="standardContextual"/>
        </w:rPr>
      </w:pPr>
      <w:r w:rsidRPr="007314ED">
        <w:rPr>
          <w:rFonts w:cs="Open Sans"/>
          <w:kern w:val="2"/>
          <w:szCs w:val="22"/>
          <w:lang w:val="en-US"/>
          <w14:ligatures w14:val="standardContextual"/>
        </w:rPr>
        <w:t>Day 2</w:t>
      </w:r>
    </w:p>
    <w:tbl>
      <w:tblPr>
        <w:tblW w:w="10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6460"/>
        <w:gridCol w:w="2033"/>
      </w:tblGrid>
      <w:tr w:rsidR="00703494" w:rsidRPr="007314ED" w14:paraId="3DDAD994" w14:textId="77777777" w:rsidTr="00C533C9">
        <w:trPr>
          <w:trHeight w:val="153"/>
        </w:trPr>
        <w:tc>
          <w:tcPr>
            <w:tcW w:w="1535" w:type="dxa"/>
            <w:shd w:val="clear" w:color="auto" w:fill="auto"/>
            <w:noWrap/>
            <w:hideMark/>
          </w:tcPr>
          <w:p w14:paraId="681CFB88" w14:textId="77777777" w:rsidR="00703494" w:rsidRPr="007314ED" w:rsidRDefault="00703494" w:rsidP="00C533C9">
            <w:pPr>
              <w:rPr>
                <w:rFonts w:eastAsia="Times New Roman" w:cs="Open Sans"/>
                <w:color w:val="000000"/>
                <w:szCs w:val="22"/>
                <w:lang w:val="en-US"/>
              </w:rPr>
            </w:pPr>
            <w:bookmarkStart w:id="0" w:name="_Hlk156315274"/>
            <w:r w:rsidRPr="007314ED">
              <w:rPr>
                <w:rFonts w:eastAsia="Times New Roman" w:cs="Open Sans"/>
                <w:color w:val="000000"/>
                <w:szCs w:val="22"/>
                <w:lang w:val="en-US"/>
              </w:rPr>
              <w:t>9.00 -10.30</w:t>
            </w:r>
          </w:p>
        </w:tc>
        <w:tc>
          <w:tcPr>
            <w:tcW w:w="6460" w:type="dxa"/>
            <w:shd w:val="clear" w:color="000000" w:fill="B4C6E7"/>
            <w:noWrap/>
            <w:hideMark/>
          </w:tcPr>
          <w:p w14:paraId="3AEA6F91"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Lecture: Elements-at-risk (EaR) Assessment</w:t>
            </w:r>
          </w:p>
        </w:tc>
        <w:tc>
          <w:tcPr>
            <w:tcW w:w="2033" w:type="dxa"/>
            <w:shd w:val="clear" w:color="000000" w:fill="B4C6E7"/>
            <w:noWrap/>
            <w:hideMark/>
          </w:tcPr>
          <w:p w14:paraId="4EC6DB60"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Cees</w:t>
            </w:r>
          </w:p>
        </w:tc>
      </w:tr>
      <w:tr w:rsidR="00703494" w:rsidRPr="007314ED" w14:paraId="589523AF" w14:textId="77777777" w:rsidTr="00C533C9">
        <w:trPr>
          <w:trHeight w:val="153"/>
        </w:trPr>
        <w:tc>
          <w:tcPr>
            <w:tcW w:w="1535" w:type="dxa"/>
            <w:shd w:val="clear" w:color="auto" w:fill="auto"/>
            <w:noWrap/>
            <w:hideMark/>
          </w:tcPr>
          <w:p w14:paraId="0FD9C53B"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10.30 -10.50</w:t>
            </w:r>
          </w:p>
        </w:tc>
        <w:tc>
          <w:tcPr>
            <w:tcW w:w="8493" w:type="dxa"/>
            <w:gridSpan w:val="2"/>
            <w:shd w:val="clear" w:color="000000" w:fill="F8CBAD"/>
            <w:noWrap/>
            <w:hideMark/>
          </w:tcPr>
          <w:p w14:paraId="30702055"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Break</w:t>
            </w:r>
          </w:p>
        </w:tc>
      </w:tr>
      <w:tr w:rsidR="00703494" w:rsidRPr="007314ED" w14:paraId="5A973310" w14:textId="77777777" w:rsidTr="00C533C9">
        <w:trPr>
          <w:trHeight w:val="153"/>
        </w:trPr>
        <w:tc>
          <w:tcPr>
            <w:tcW w:w="1535" w:type="dxa"/>
            <w:shd w:val="clear" w:color="auto" w:fill="auto"/>
            <w:noWrap/>
            <w:hideMark/>
          </w:tcPr>
          <w:p w14:paraId="6C86E35D"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10.50 -12.00</w:t>
            </w:r>
          </w:p>
        </w:tc>
        <w:tc>
          <w:tcPr>
            <w:tcW w:w="6460" w:type="dxa"/>
            <w:shd w:val="clear" w:color="000000" w:fill="B4C6E7"/>
            <w:noWrap/>
            <w:hideMark/>
          </w:tcPr>
          <w:p w14:paraId="0DCD4B1E"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Lecture: Vulnerability Assessment</w:t>
            </w:r>
          </w:p>
        </w:tc>
        <w:tc>
          <w:tcPr>
            <w:tcW w:w="2033" w:type="dxa"/>
            <w:shd w:val="clear" w:color="000000" w:fill="B4C6E7"/>
            <w:noWrap/>
            <w:hideMark/>
          </w:tcPr>
          <w:p w14:paraId="17C779C5"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Cees</w:t>
            </w:r>
          </w:p>
        </w:tc>
      </w:tr>
      <w:tr w:rsidR="00703494" w:rsidRPr="007314ED" w14:paraId="0B23B767" w14:textId="77777777" w:rsidTr="00C533C9">
        <w:trPr>
          <w:trHeight w:val="153"/>
        </w:trPr>
        <w:tc>
          <w:tcPr>
            <w:tcW w:w="1535" w:type="dxa"/>
            <w:shd w:val="clear" w:color="auto" w:fill="auto"/>
            <w:noWrap/>
            <w:hideMark/>
          </w:tcPr>
          <w:p w14:paraId="758EC500"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12.00 - 13.30</w:t>
            </w:r>
          </w:p>
        </w:tc>
        <w:tc>
          <w:tcPr>
            <w:tcW w:w="8493" w:type="dxa"/>
            <w:gridSpan w:val="2"/>
            <w:shd w:val="clear" w:color="000000" w:fill="F8CBAD"/>
            <w:noWrap/>
            <w:hideMark/>
          </w:tcPr>
          <w:p w14:paraId="01288930"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Lunch break</w:t>
            </w:r>
          </w:p>
        </w:tc>
      </w:tr>
      <w:tr w:rsidR="00703494" w:rsidRPr="007314ED" w14:paraId="7C63692D" w14:textId="77777777" w:rsidTr="00C533C9">
        <w:trPr>
          <w:trHeight w:val="153"/>
        </w:trPr>
        <w:tc>
          <w:tcPr>
            <w:tcW w:w="1535" w:type="dxa"/>
            <w:shd w:val="clear" w:color="auto" w:fill="auto"/>
            <w:noWrap/>
            <w:hideMark/>
          </w:tcPr>
          <w:p w14:paraId="743FB066"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13.30 - 15.00</w:t>
            </w:r>
          </w:p>
        </w:tc>
        <w:tc>
          <w:tcPr>
            <w:tcW w:w="6460" w:type="dxa"/>
            <w:shd w:val="clear" w:color="000000" w:fill="C6E0B4"/>
            <w:noWrap/>
            <w:hideMark/>
          </w:tcPr>
          <w:p w14:paraId="4A5F376C"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Practical: Entering EaR and vulnerability input data in RiskChanges (demo dataset)</w:t>
            </w:r>
          </w:p>
        </w:tc>
        <w:tc>
          <w:tcPr>
            <w:tcW w:w="2033" w:type="dxa"/>
            <w:shd w:val="clear" w:color="000000" w:fill="C6E0B4"/>
            <w:noWrap/>
            <w:hideMark/>
          </w:tcPr>
          <w:p w14:paraId="41DDFDEE"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Anish, Rabina</w:t>
            </w:r>
          </w:p>
        </w:tc>
      </w:tr>
      <w:tr w:rsidR="00703494" w:rsidRPr="007314ED" w14:paraId="6E972AD2" w14:textId="77777777" w:rsidTr="00C533C9">
        <w:trPr>
          <w:trHeight w:val="153"/>
        </w:trPr>
        <w:tc>
          <w:tcPr>
            <w:tcW w:w="1535" w:type="dxa"/>
            <w:shd w:val="clear" w:color="auto" w:fill="auto"/>
            <w:noWrap/>
            <w:hideMark/>
          </w:tcPr>
          <w:p w14:paraId="0CC6DBC3"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15.00 - 15.20</w:t>
            </w:r>
          </w:p>
        </w:tc>
        <w:tc>
          <w:tcPr>
            <w:tcW w:w="8493" w:type="dxa"/>
            <w:gridSpan w:val="2"/>
            <w:shd w:val="clear" w:color="000000" w:fill="F8CBAD"/>
            <w:noWrap/>
            <w:hideMark/>
          </w:tcPr>
          <w:p w14:paraId="43E9776B"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Break</w:t>
            </w:r>
          </w:p>
        </w:tc>
      </w:tr>
      <w:tr w:rsidR="00703494" w:rsidRPr="007314ED" w14:paraId="4EA16DC0" w14:textId="77777777" w:rsidTr="00C533C9">
        <w:trPr>
          <w:trHeight w:val="161"/>
        </w:trPr>
        <w:tc>
          <w:tcPr>
            <w:tcW w:w="1535" w:type="dxa"/>
            <w:shd w:val="clear" w:color="auto" w:fill="auto"/>
            <w:noWrap/>
            <w:hideMark/>
          </w:tcPr>
          <w:p w14:paraId="3852AA28"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15.20 - 17.00</w:t>
            </w:r>
          </w:p>
        </w:tc>
        <w:tc>
          <w:tcPr>
            <w:tcW w:w="6460" w:type="dxa"/>
            <w:shd w:val="clear" w:color="auto" w:fill="FFE599" w:themeFill="accent4" w:themeFillTint="66"/>
            <w:noWrap/>
            <w:hideMark/>
          </w:tcPr>
          <w:p w14:paraId="5656A1B6" w14:textId="4FEE763F"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Presentation</w:t>
            </w:r>
            <w:r w:rsidR="00775BC9">
              <w:rPr>
                <w:rFonts w:eastAsia="Times New Roman" w:cs="Open Sans"/>
                <w:color w:val="000000"/>
                <w:szCs w:val="22"/>
                <w:lang w:val="en-US"/>
              </w:rPr>
              <w:t>/Discussion</w:t>
            </w:r>
            <w:r>
              <w:rPr>
                <w:rFonts w:eastAsia="Times New Roman" w:cs="Open Sans"/>
                <w:color w:val="000000"/>
                <w:szCs w:val="22"/>
                <w:lang w:val="en-US"/>
              </w:rPr>
              <w:t xml:space="preserve">: </w:t>
            </w:r>
            <w:r w:rsidRPr="007314ED">
              <w:rPr>
                <w:rFonts w:eastAsia="Times New Roman" w:cs="Open Sans"/>
                <w:color w:val="000000"/>
                <w:szCs w:val="22"/>
                <w:lang w:val="en-US"/>
              </w:rPr>
              <w:t xml:space="preserve">Evaluation of </w:t>
            </w:r>
            <w:r>
              <w:rPr>
                <w:rFonts w:eastAsia="Times New Roman" w:cs="Open Sans"/>
                <w:color w:val="000000"/>
                <w:szCs w:val="22"/>
                <w:lang w:val="en-US"/>
              </w:rPr>
              <w:t>u</w:t>
            </w:r>
            <w:r w:rsidRPr="007314ED">
              <w:rPr>
                <w:rFonts w:eastAsia="Times New Roman" w:cs="Open Sans"/>
                <w:color w:val="000000"/>
                <w:szCs w:val="22"/>
                <w:lang w:val="en-US"/>
              </w:rPr>
              <w:t xml:space="preserve">se of risk information </w:t>
            </w:r>
          </w:p>
        </w:tc>
        <w:tc>
          <w:tcPr>
            <w:tcW w:w="2033" w:type="dxa"/>
            <w:shd w:val="clear" w:color="auto" w:fill="FFE599" w:themeFill="accent4" w:themeFillTint="66"/>
            <w:noWrap/>
            <w:hideMark/>
          </w:tcPr>
          <w:p w14:paraId="5486B382"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Participants</w:t>
            </w:r>
          </w:p>
        </w:tc>
      </w:tr>
      <w:bookmarkEnd w:id="0"/>
    </w:tbl>
    <w:p w14:paraId="21FC2B54" w14:textId="77777777" w:rsidR="00703494" w:rsidRPr="007314ED" w:rsidRDefault="00703494" w:rsidP="00703494">
      <w:pPr>
        <w:spacing w:line="259" w:lineRule="auto"/>
        <w:rPr>
          <w:rFonts w:cs="Open Sans"/>
          <w:kern w:val="2"/>
          <w:szCs w:val="22"/>
          <w:lang w:val="en-US"/>
          <w14:ligatures w14:val="standardContextual"/>
        </w:rPr>
      </w:pPr>
    </w:p>
    <w:p w14:paraId="6217016B" w14:textId="77777777" w:rsidR="00703494" w:rsidRPr="007314ED" w:rsidRDefault="00703494" w:rsidP="00703494">
      <w:pPr>
        <w:spacing w:after="160" w:line="259" w:lineRule="auto"/>
        <w:rPr>
          <w:rFonts w:cs="Open Sans"/>
          <w:kern w:val="2"/>
          <w:szCs w:val="22"/>
          <w:lang w:val="en-US"/>
          <w14:ligatures w14:val="standardContextual"/>
        </w:rPr>
      </w:pPr>
      <w:r w:rsidRPr="007314ED">
        <w:rPr>
          <w:rFonts w:cs="Open Sans"/>
          <w:kern w:val="2"/>
          <w:szCs w:val="22"/>
          <w:lang w:val="en-US"/>
          <w14:ligatures w14:val="standardContextual"/>
        </w:rPr>
        <w:t>Day 3</w:t>
      </w:r>
    </w:p>
    <w:tbl>
      <w:tblPr>
        <w:tblW w:w="99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6465"/>
        <w:gridCol w:w="1972"/>
      </w:tblGrid>
      <w:tr w:rsidR="00703494" w:rsidRPr="007314ED" w14:paraId="4C58FA82" w14:textId="77777777" w:rsidTr="00C533C9">
        <w:trPr>
          <w:trHeight w:val="151"/>
        </w:trPr>
        <w:tc>
          <w:tcPr>
            <w:tcW w:w="1530" w:type="dxa"/>
            <w:shd w:val="clear" w:color="auto" w:fill="auto"/>
            <w:noWrap/>
            <w:hideMark/>
          </w:tcPr>
          <w:p w14:paraId="279E3FC9"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9.00 -10.30</w:t>
            </w:r>
          </w:p>
        </w:tc>
        <w:tc>
          <w:tcPr>
            <w:tcW w:w="6465" w:type="dxa"/>
            <w:shd w:val="clear" w:color="000000" w:fill="B4C6E7"/>
            <w:noWrap/>
            <w:hideMark/>
          </w:tcPr>
          <w:p w14:paraId="7D01DAA8"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 xml:space="preserve">Lecture: Loss and risk estimation </w:t>
            </w:r>
          </w:p>
        </w:tc>
        <w:tc>
          <w:tcPr>
            <w:tcW w:w="1972" w:type="dxa"/>
            <w:shd w:val="clear" w:color="000000" w:fill="B4C6E7"/>
            <w:noWrap/>
            <w:hideMark/>
          </w:tcPr>
          <w:p w14:paraId="4B2E5AAA"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Cees</w:t>
            </w:r>
          </w:p>
        </w:tc>
      </w:tr>
      <w:tr w:rsidR="00703494" w:rsidRPr="007314ED" w14:paraId="41468194" w14:textId="77777777" w:rsidTr="00C533C9">
        <w:trPr>
          <w:trHeight w:val="151"/>
        </w:trPr>
        <w:tc>
          <w:tcPr>
            <w:tcW w:w="1530" w:type="dxa"/>
            <w:shd w:val="clear" w:color="auto" w:fill="auto"/>
            <w:noWrap/>
            <w:hideMark/>
          </w:tcPr>
          <w:p w14:paraId="0C8F2366"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10.30 -10.50</w:t>
            </w:r>
          </w:p>
        </w:tc>
        <w:tc>
          <w:tcPr>
            <w:tcW w:w="8437" w:type="dxa"/>
            <w:gridSpan w:val="2"/>
            <w:shd w:val="clear" w:color="000000" w:fill="F8CBAD"/>
            <w:noWrap/>
            <w:hideMark/>
          </w:tcPr>
          <w:p w14:paraId="6A4DAF2F"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Break</w:t>
            </w:r>
          </w:p>
        </w:tc>
      </w:tr>
      <w:tr w:rsidR="00703494" w:rsidRPr="007314ED" w14:paraId="7E67E155" w14:textId="77777777" w:rsidTr="00C533C9">
        <w:trPr>
          <w:trHeight w:val="151"/>
        </w:trPr>
        <w:tc>
          <w:tcPr>
            <w:tcW w:w="1530" w:type="dxa"/>
            <w:shd w:val="clear" w:color="auto" w:fill="auto"/>
            <w:noWrap/>
            <w:hideMark/>
          </w:tcPr>
          <w:p w14:paraId="48E5ECFF"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10.50 -12.00</w:t>
            </w:r>
          </w:p>
        </w:tc>
        <w:tc>
          <w:tcPr>
            <w:tcW w:w="6465" w:type="dxa"/>
            <w:shd w:val="clear" w:color="000000" w:fill="C6E0B4"/>
            <w:noWrap/>
            <w:hideMark/>
          </w:tcPr>
          <w:p w14:paraId="37C1D17F"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Practical: Exposure, loss and risk assessment in RiskChanges (demo dataset)</w:t>
            </w:r>
          </w:p>
        </w:tc>
        <w:tc>
          <w:tcPr>
            <w:tcW w:w="1972" w:type="dxa"/>
            <w:shd w:val="clear" w:color="000000" w:fill="C6E0B4"/>
            <w:noWrap/>
            <w:hideMark/>
          </w:tcPr>
          <w:p w14:paraId="218ECD54"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Anish, Rabina</w:t>
            </w:r>
          </w:p>
        </w:tc>
      </w:tr>
      <w:tr w:rsidR="00703494" w:rsidRPr="007314ED" w14:paraId="35A23CA1" w14:textId="77777777" w:rsidTr="00C533C9">
        <w:trPr>
          <w:trHeight w:val="151"/>
        </w:trPr>
        <w:tc>
          <w:tcPr>
            <w:tcW w:w="1530" w:type="dxa"/>
            <w:shd w:val="clear" w:color="auto" w:fill="auto"/>
            <w:noWrap/>
            <w:hideMark/>
          </w:tcPr>
          <w:p w14:paraId="723C8791"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12.00 - 13.30</w:t>
            </w:r>
          </w:p>
        </w:tc>
        <w:tc>
          <w:tcPr>
            <w:tcW w:w="8437" w:type="dxa"/>
            <w:gridSpan w:val="2"/>
            <w:shd w:val="clear" w:color="000000" w:fill="F8CBAD"/>
            <w:noWrap/>
            <w:hideMark/>
          </w:tcPr>
          <w:p w14:paraId="1729B21A"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Lunch break</w:t>
            </w:r>
          </w:p>
        </w:tc>
      </w:tr>
      <w:tr w:rsidR="00703494" w:rsidRPr="007314ED" w14:paraId="79733A5F" w14:textId="77777777" w:rsidTr="00C533C9">
        <w:trPr>
          <w:trHeight w:val="151"/>
        </w:trPr>
        <w:tc>
          <w:tcPr>
            <w:tcW w:w="1530" w:type="dxa"/>
            <w:shd w:val="clear" w:color="auto" w:fill="auto"/>
            <w:noWrap/>
            <w:hideMark/>
          </w:tcPr>
          <w:p w14:paraId="2BFCB445"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13.30 - 15.00</w:t>
            </w:r>
          </w:p>
        </w:tc>
        <w:tc>
          <w:tcPr>
            <w:tcW w:w="6465" w:type="dxa"/>
            <w:shd w:val="clear" w:color="auto" w:fill="B4C6E7" w:themeFill="accent1" w:themeFillTint="66"/>
            <w:noWrap/>
            <w:hideMark/>
          </w:tcPr>
          <w:p w14:paraId="189C955C"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 xml:space="preserve">Lecture: Risk Reduction Alternatives </w:t>
            </w:r>
          </w:p>
        </w:tc>
        <w:tc>
          <w:tcPr>
            <w:tcW w:w="1972" w:type="dxa"/>
            <w:shd w:val="clear" w:color="auto" w:fill="B4C6E7" w:themeFill="accent1" w:themeFillTint="66"/>
            <w:noWrap/>
            <w:hideMark/>
          </w:tcPr>
          <w:p w14:paraId="4A1A992D"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Cees</w:t>
            </w:r>
          </w:p>
        </w:tc>
      </w:tr>
      <w:tr w:rsidR="00703494" w:rsidRPr="007314ED" w14:paraId="73C780F7" w14:textId="77777777" w:rsidTr="00C533C9">
        <w:trPr>
          <w:trHeight w:val="151"/>
        </w:trPr>
        <w:tc>
          <w:tcPr>
            <w:tcW w:w="1530" w:type="dxa"/>
            <w:shd w:val="clear" w:color="auto" w:fill="auto"/>
            <w:noWrap/>
            <w:hideMark/>
          </w:tcPr>
          <w:p w14:paraId="54934559"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15.00 - 15.20</w:t>
            </w:r>
          </w:p>
        </w:tc>
        <w:tc>
          <w:tcPr>
            <w:tcW w:w="8437" w:type="dxa"/>
            <w:gridSpan w:val="2"/>
            <w:shd w:val="clear" w:color="000000" w:fill="F8CBAD"/>
            <w:noWrap/>
            <w:hideMark/>
          </w:tcPr>
          <w:p w14:paraId="30D84478"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Break</w:t>
            </w:r>
          </w:p>
        </w:tc>
      </w:tr>
      <w:tr w:rsidR="00703494" w:rsidRPr="007314ED" w14:paraId="3D2E8483" w14:textId="77777777" w:rsidTr="00C533C9">
        <w:trPr>
          <w:trHeight w:val="159"/>
        </w:trPr>
        <w:tc>
          <w:tcPr>
            <w:tcW w:w="1530" w:type="dxa"/>
            <w:shd w:val="clear" w:color="auto" w:fill="auto"/>
            <w:noWrap/>
            <w:hideMark/>
          </w:tcPr>
          <w:p w14:paraId="47AB679C"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15.20 - 17.00</w:t>
            </w:r>
          </w:p>
        </w:tc>
        <w:tc>
          <w:tcPr>
            <w:tcW w:w="6465" w:type="dxa"/>
            <w:shd w:val="clear" w:color="000000" w:fill="C6E0B4"/>
            <w:noWrap/>
            <w:hideMark/>
          </w:tcPr>
          <w:p w14:paraId="15B2AA76"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Practical: Analyzing risk reduction alternatives (demo dataset)</w:t>
            </w:r>
          </w:p>
        </w:tc>
        <w:tc>
          <w:tcPr>
            <w:tcW w:w="1972" w:type="dxa"/>
            <w:shd w:val="clear" w:color="000000" w:fill="C6E0B4"/>
            <w:noWrap/>
            <w:hideMark/>
          </w:tcPr>
          <w:p w14:paraId="02421BBB"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Anish, Rabina</w:t>
            </w:r>
          </w:p>
        </w:tc>
      </w:tr>
    </w:tbl>
    <w:p w14:paraId="3C9E7C8B" w14:textId="77777777" w:rsidR="00703494" w:rsidRDefault="00703494" w:rsidP="00703494">
      <w:pPr>
        <w:spacing w:after="160" w:line="259" w:lineRule="auto"/>
        <w:rPr>
          <w:rFonts w:cs="Open Sans"/>
          <w:kern w:val="2"/>
          <w:szCs w:val="22"/>
          <w:lang w:val="en-US"/>
          <w14:ligatures w14:val="standardContextual"/>
        </w:rPr>
      </w:pPr>
    </w:p>
    <w:p w14:paraId="4C2C4757" w14:textId="77777777" w:rsidR="00D311A5" w:rsidRPr="007314ED" w:rsidRDefault="00D311A5" w:rsidP="00703494">
      <w:pPr>
        <w:spacing w:after="160" w:line="259" w:lineRule="auto"/>
        <w:rPr>
          <w:rFonts w:cs="Open Sans"/>
          <w:kern w:val="2"/>
          <w:szCs w:val="22"/>
          <w:lang w:val="en-US"/>
          <w14:ligatures w14:val="standardContextual"/>
        </w:rPr>
      </w:pPr>
    </w:p>
    <w:p w14:paraId="271CC101" w14:textId="77777777" w:rsidR="00703494" w:rsidRPr="007314ED" w:rsidRDefault="00703494" w:rsidP="00703494">
      <w:pPr>
        <w:spacing w:after="160" w:line="259" w:lineRule="auto"/>
        <w:rPr>
          <w:rFonts w:cs="Open Sans"/>
          <w:kern w:val="2"/>
          <w:szCs w:val="22"/>
          <w:lang w:val="en-US"/>
          <w14:ligatures w14:val="standardContextual"/>
        </w:rPr>
      </w:pPr>
      <w:r w:rsidRPr="007314ED">
        <w:rPr>
          <w:rFonts w:cs="Open Sans"/>
          <w:kern w:val="2"/>
          <w:szCs w:val="22"/>
          <w:lang w:val="en-US"/>
          <w14:ligatures w14:val="standardContextual"/>
        </w:rPr>
        <w:lastRenderedPageBreak/>
        <w:t>Day 4</w:t>
      </w:r>
    </w:p>
    <w:tbl>
      <w:tblPr>
        <w:tblW w:w="100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459"/>
        <w:gridCol w:w="2078"/>
      </w:tblGrid>
      <w:tr w:rsidR="00703494" w:rsidRPr="007314ED" w14:paraId="716BE8BF" w14:textId="77777777" w:rsidTr="00C533C9">
        <w:trPr>
          <w:trHeight w:val="2"/>
        </w:trPr>
        <w:tc>
          <w:tcPr>
            <w:tcW w:w="1536" w:type="dxa"/>
            <w:shd w:val="clear" w:color="auto" w:fill="auto"/>
            <w:noWrap/>
            <w:hideMark/>
          </w:tcPr>
          <w:p w14:paraId="15251B68"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9.00 -10.30</w:t>
            </w:r>
          </w:p>
        </w:tc>
        <w:tc>
          <w:tcPr>
            <w:tcW w:w="6459" w:type="dxa"/>
            <w:shd w:val="clear" w:color="000000" w:fill="B4C6E7"/>
            <w:noWrap/>
            <w:hideMark/>
          </w:tcPr>
          <w:p w14:paraId="4B9928AA" w14:textId="77FDDD14" w:rsidR="00703494" w:rsidRPr="007314ED" w:rsidRDefault="0090163B" w:rsidP="00C533C9">
            <w:pPr>
              <w:rPr>
                <w:rFonts w:eastAsia="Times New Roman" w:cs="Open Sans"/>
                <w:color w:val="000000"/>
                <w:szCs w:val="22"/>
                <w:lang w:val="en-US"/>
              </w:rPr>
            </w:pPr>
            <w:r w:rsidRPr="007314ED">
              <w:rPr>
                <w:rFonts w:eastAsia="Times New Roman" w:cs="Open Sans"/>
                <w:color w:val="000000"/>
                <w:szCs w:val="22"/>
                <w:lang w:val="en-US"/>
              </w:rPr>
              <w:t xml:space="preserve">Lecture: Future </w:t>
            </w:r>
            <w:r>
              <w:rPr>
                <w:rFonts w:eastAsia="Times New Roman" w:cs="Open Sans"/>
                <w:color w:val="000000"/>
                <w:szCs w:val="22"/>
                <w:lang w:val="en-US"/>
              </w:rPr>
              <w:t>S</w:t>
            </w:r>
            <w:r w:rsidRPr="007314ED">
              <w:rPr>
                <w:rFonts w:eastAsia="Times New Roman" w:cs="Open Sans"/>
                <w:color w:val="000000"/>
                <w:szCs w:val="22"/>
                <w:lang w:val="en-US"/>
              </w:rPr>
              <w:t xml:space="preserve">cenarios and the </w:t>
            </w:r>
            <w:r>
              <w:rPr>
                <w:rFonts w:eastAsia="Times New Roman" w:cs="Open Sans"/>
                <w:color w:val="000000"/>
                <w:szCs w:val="22"/>
                <w:lang w:val="en-US"/>
              </w:rPr>
              <w:t>C</w:t>
            </w:r>
            <w:r w:rsidRPr="007314ED">
              <w:rPr>
                <w:rFonts w:eastAsia="Times New Roman" w:cs="Open Sans"/>
                <w:color w:val="000000"/>
                <w:szCs w:val="22"/>
                <w:lang w:val="en-US"/>
              </w:rPr>
              <w:t xml:space="preserve">hanges in </w:t>
            </w:r>
            <w:r>
              <w:rPr>
                <w:rFonts w:eastAsia="Times New Roman" w:cs="Open Sans"/>
                <w:color w:val="000000"/>
                <w:szCs w:val="22"/>
                <w:lang w:val="en-US"/>
              </w:rPr>
              <w:t>R</w:t>
            </w:r>
            <w:r w:rsidRPr="007314ED">
              <w:rPr>
                <w:rFonts w:eastAsia="Times New Roman" w:cs="Open Sans"/>
                <w:color w:val="000000"/>
                <w:szCs w:val="22"/>
                <w:lang w:val="en-US"/>
              </w:rPr>
              <w:t>isk</w:t>
            </w:r>
          </w:p>
        </w:tc>
        <w:tc>
          <w:tcPr>
            <w:tcW w:w="2078" w:type="dxa"/>
            <w:shd w:val="clear" w:color="000000" w:fill="B4C6E7"/>
            <w:noWrap/>
            <w:hideMark/>
          </w:tcPr>
          <w:p w14:paraId="4DB9F153"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Cees</w:t>
            </w:r>
          </w:p>
        </w:tc>
      </w:tr>
      <w:tr w:rsidR="00703494" w:rsidRPr="007314ED" w14:paraId="7641FE7C" w14:textId="77777777" w:rsidTr="00C533C9">
        <w:trPr>
          <w:trHeight w:val="2"/>
        </w:trPr>
        <w:tc>
          <w:tcPr>
            <w:tcW w:w="1536" w:type="dxa"/>
            <w:shd w:val="clear" w:color="auto" w:fill="auto"/>
            <w:noWrap/>
            <w:hideMark/>
          </w:tcPr>
          <w:p w14:paraId="53CCE14B"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10.30 -10.50</w:t>
            </w:r>
          </w:p>
        </w:tc>
        <w:tc>
          <w:tcPr>
            <w:tcW w:w="8537" w:type="dxa"/>
            <w:gridSpan w:val="2"/>
            <w:shd w:val="clear" w:color="000000" w:fill="F8CBAD"/>
            <w:noWrap/>
            <w:hideMark/>
          </w:tcPr>
          <w:p w14:paraId="75EBE876"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Break</w:t>
            </w:r>
          </w:p>
        </w:tc>
      </w:tr>
      <w:tr w:rsidR="00254F63" w:rsidRPr="007314ED" w14:paraId="56E99638" w14:textId="77777777" w:rsidTr="00254F63">
        <w:trPr>
          <w:trHeight w:val="2"/>
        </w:trPr>
        <w:tc>
          <w:tcPr>
            <w:tcW w:w="1536" w:type="dxa"/>
            <w:shd w:val="clear" w:color="auto" w:fill="auto"/>
            <w:noWrap/>
            <w:hideMark/>
          </w:tcPr>
          <w:p w14:paraId="5CCCD28E" w14:textId="77777777" w:rsidR="00254F63" w:rsidRPr="007314ED" w:rsidRDefault="00254F63" w:rsidP="00254F63">
            <w:pPr>
              <w:rPr>
                <w:rFonts w:eastAsia="Times New Roman" w:cs="Open Sans"/>
                <w:color w:val="000000"/>
                <w:szCs w:val="22"/>
                <w:lang w:val="en-US"/>
              </w:rPr>
            </w:pPr>
            <w:r w:rsidRPr="007314ED">
              <w:rPr>
                <w:rFonts w:eastAsia="Times New Roman" w:cs="Open Sans"/>
                <w:color w:val="000000"/>
                <w:szCs w:val="22"/>
                <w:lang w:val="en-US"/>
              </w:rPr>
              <w:t>10.50 -12.00</w:t>
            </w:r>
          </w:p>
        </w:tc>
        <w:tc>
          <w:tcPr>
            <w:tcW w:w="6459" w:type="dxa"/>
            <w:shd w:val="clear" w:color="auto" w:fill="B4C6E7" w:themeFill="accent1" w:themeFillTint="66"/>
            <w:noWrap/>
            <w:hideMark/>
          </w:tcPr>
          <w:p w14:paraId="38B68700" w14:textId="350170F8" w:rsidR="00254F63" w:rsidRPr="007314ED" w:rsidRDefault="00254F63" w:rsidP="00254F63">
            <w:pPr>
              <w:rPr>
                <w:rFonts w:eastAsia="Times New Roman" w:cs="Open Sans"/>
                <w:color w:val="000000"/>
                <w:szCs w:val="22"/>
                <w:lang w:val="en-US"/>
              </w:rPr>
            </w:pPr>
            <w:r w:rsidRPr="007314ED">
              <w:rPr>
                <w:rFonts w:eastAsia="Times New Roman" w:cs="Open Sans"/>
                <w:color w:val="000000"/>
                <w:szCs w:val="22"/>
                <w:lang w:val="en-US"/>
              </w:rPr>
              <w:t>Lecture</w:t>
            </w:r>
            <w:r>
              <w:rPr>
                <w:rFonts w:eastAsia="Times New Roman" w:cs="Open Sans"/>
                <w:color w:val="000000"/>
                <w:szCs w:val="22"/>
                <w:lang w:val="en-US"/>
              </w:rPr>
              <w:t>/Discussion</w:t>
            </w:r>
            <w:r w:rsidRPr="007314ED">
              <w:rPr>
                <w:rFonts w:eastAsia="Times New Roman" w:cs="Open Sans"/>
                <w:color w:val="000000"/>
                <w:szCs w:val="22"/>
                <w:lang w:val="en-US"/>
              </w:rPr>
              <w:t xml:space="preserve">: </w:t>
            </w:r>
            <w:r>
              <w:rPr>
                <w:rFonts w:eastAsia="Times New Roman" w:cs="Open Sans"/>
                <w:color w:val="000000"/>
                <w:szCs w:val="22"/>
                <w:lang w:val="en-US"/>
              </w:rPr>
              <w:t>How to develop your own data for MHRA?</w:t>
            </w:r>
          </w:p>
        </w:tc>
        <w:tc>
          <w:tcPr>
            <w:tcW w:w="2078" w:type="dxa"/>
            <w:shd w:val="clear" w:color="auto" w:fill="B4C6E7" w:themeFill="accent1" w:themeFillTint="66"/>
            <w:noWrap/>
            <w:hideMark/>
          </w:tcPr>
          <w:p w14:paraId="4D65D6AD" w14:textId="255749DB" w:rsidR="00254F63" w:rsidRPr="007314ED" w:rsidRDefault="00254F63" w:rsidP="00254F63">
            <w:pPr>
              <w:rPr>
                <w:rFonts w:eastAsia="Times New Roman" w:cs="Open Sans"/>
                <w:color w:val="000000"/>
                <w:szCs w:val="22"/>
                <w:lang w:val="en-US"/>
              </w:rPr>
            </w:pPr>
            <w:r w:rsidRPr="007314ED">
              <w:rPr>
                <w:rFonts w:eastAsia="Times New Roman" w:cs="Open Sans"/>
                <w:color w:val="000000"/>
                <w:szCs w:val="22"/>
                <w:lang w:val="en-US"/>
              </w:rPr>
              <w:t>Cees</w:t>
            </w:r>
            <w:r w:rsidR="00A439DB">
              <w:rPr>
                <w:rFonts w:eastAsia="Times New Roman" w:cs="Open Sans"/>
                <w:color w:val="000000"/>
                <w:szCs w:val="22"/>
                <w:lang w:val="en-US"/>
              </w:rPr>
              <w:t>/Anish</w:t>
            </w:r>
          </w:p>
        </w:tc>
      </w:tr>
      <w:tr w:rsidR="00703494" w:rsidRPr="007314ED" w14:paraId="1937A27D" w14:textId="77777777" w:rsidTr="00C533C9">
        <w:trPr>
          <w:trHeight w:val="2"/>
        </w:trPr>
        <w:tc>
          <w:tcPr>
            <w:tcW w:w="1536" w:type="dxa"/>
            <w:shd w:val="clear" w:color="auto" w:fill="auto"/>
            <w:noWrap/>
            <w:hideMark/>
          </w:tcPr>
          <w:p w14:paraId="5A34C759" w14:textId="167D1A03"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 xml:space="preserve">12.00 - </w:t>
            </w:r>
            <w:r w:rsidR="00B23719">
              <w:rPr>
                <w:rFonts w:eastAsia="Times New Roman" w:cs="Open Sans"/>
                <w:color w:val="000000"/>
                <w:szCs w:val="22"/>
                <w:lang w:val="en-US"/>
              </w:rPr>
              <w:t>13</w:t>
            </w:r>
            <w:r w:rsidRPr="007314ED">
              <w:rPr>
                <w:rFonts w:eastAsia="Times New Roman" w:cs="Open Sans"/>
                <w:color w:val="000000"/>
                <w:szCs w:val="22"/>
                <w:lang w:val="en-US"/>
              </w:rPr>
              <w:t>.30</w:t>
            </w:r>
          </w:p>
        </w:tc>
        <w:tc>
          <w:tcPr>
            <w:tcW w:w="8537" w:type="dxa"/>
            <w:gridSpan w:val="2"/>
            <w:shd w:val="clear" w:color="000000" w:fill="F8CBAD"/>
            <w:noWrap/>
            <w:hideMark/>
          </w:tcPr>
          <w:p w14:paraId="35D0757A" w14:textId="77777777" w:rsidR="00703494" w:rsidRPr="007314ED" w:rsidRDefault="00703494" w:rsidP="00C533C9">
            <w:pPr>
              <w:rPr>
                <w:rFonts w:eastAsia="Times New Roman" w:cs="Open Sans"/>
                <w:color w:val="000000"/>
                <w:szCs w:val="22"/>
                <w:lang w:val="en-US"/>
              </w:rPr>
            </w:pPr>
            <w:r w:rsidRPr="007314ED">
              <w:rPr>
                <w:rFonts w:eastAsia="Times New Roman" w:cs="Open Sans"/>
                <w:color w:val="000000"/>
                <w:szCs w:val="22"/>
                <w:lang w:val="en-US"/>
              </w:rPr>
              <w:t>Lunch break</w:t>
            </w:r>
          </w:p>
        </w:tc>
      </w:tr>
      <w:tr w:rsidR="00B23719" w:rsidRPr="007314ED" w14:paraId="627E2DD5" w14:textId="77777777" w:rsidTr="00C533C9">
        <w:trPr>
          <w:trHeight w:val="2"/>
        </w:trPr>
        <w:tc>
          <w:tcPr>
            <w:tcW w:w="1536" w:type="dxa"/>
            <w:shd w:val="clear" w:color="auto" w:fill="auto"/>
            <w:noWrap/>
          </w:tcPr>
          <w:p w14:paraId="12B70D87" w14:textId="63DB6D9F" w:rsidR="00B23719" w:rsidRPr="007314ED" w:rsidRDefault="00B23719" w:rsidP="00C533C9">
            <w:pPr>
              <w:rPr>
                <w:rFonts w:eastAsia="Times New Roman" w:cs="Open Sans"/>
                <w:color w:val="000000"/>
                <w:szCs w:val="22"/>
                <w:lang w:val="en-US"/>
              </w:rPr>
            </w:pPr>
            <w:r>
              <w:rPr>
                <w:rFonts w:eastAsia="Times New Roman" w:cs="Open Sans"/>
                <w:color w:val="000000"/>
                <w:szCs w:val="22"/>
                <w:lang w:val="en-US"/>
              </w:rPr>
              <w:t xml:space="preserve">13.30 </w:t>
            </w:r>
            <w:r w:rsidR="009D0392">
              <w:rPr>
                <w:rFonts w:eastAsia="Times New Roman" w:cs="Open Sans"/>
                <w:color w:val="000000"/>
                <w:szCs w:val="22"/>
                <w:lang w:val="en-US"/>
              </w:rPr>
              <w:t>–</w:t>
            </w:r>
            <w:r>
              <w:rPr>
                <w:rFonts w:eastAsia="Times New Roman" w:cs="Open Sans"/>
                <w:color w:val="000000"/>
                <w:szCs w:val="22"/>
                <w:lang w:val="en-US"/>
              </w:rPr>
              <w:t xml:space="preserve"> </w:t>
            </w:r>
            <w:r w:rsidR="009D0392">
              <w:rPr>
                <w:rFonts w:eastAsia="Times New Roman" w:cs="Open Sans"/>
                <w:color w:val="000000"/>
                <w:szCs w:val="22"/>
                <w:lang w:val="en-US"/>
              </w:rPr>
              <w:t>13.45</w:t>
            </w:r>
          </w:p>
        </w:tc>
        <w:tc>
          <w:tcPr>
            <w:tcW w:w="8537" w:type="dxa"/>
            <w:gridSpan w:val="2"/>
            <w:shd w:val="clear" w:color="000000" w:fill="F8CBAD"/>
            <w:noWrap/>
          </w:tcPr>
          <w:p w14:paraId="138EA5E0" w14:textId="6C96CF53" w:rsidR="00B23719" w:rsidRPr="007314ED" w:rsidRDefault="009D0392" w:rsidP="00C533C9">
            <w:pPr>
              <w:rPr>
                <w:rFonts w:eastAsia="Times New Roman" w:cs="Open Sans"/>
                <w:color w:val="000000"/>
                <w:szCs w:val="22"/>
                <w:lang w:val="en-US"/>
              </w:rPr>
            </w:pPr>
            <w:r>
              <w:rPr>
                <w:rFonts w:eastAsia="Times New Roman" w:cs="Open Sans"/>
                <w:color w:val="000000"/>
                <w:szCs w:val="22"/>
                <w:lang w:val="en-US"/>
              </w:rPr>
              <w:t>Closing session</w:t>
            </w:r>
          </w:p>
        </w:tc>
      </w:tr>
    </w:tbl>
    <w:p w14:paraId="015E2348" w14:textId="77777777" w:rsidR="00703494" w:rsidRPr="007314ED" w:rsidRDefault="00703494" w:rsidP="00703494">
      <w:pPr>
        <w:spacing w:line="259" w:lineRule="auto"/>
        <w:rPr>
          <w:rFonts w:cs="Open Sans"/>
          <w:kern w:val="2"/>
          <w:szCs w:val="22"/>
          <w:lang w:val="en-US"/>
          <w14:ligatures w14:val="standardContextual"/>
        </w:rPr>
      </w:pPr>
    </w:p>
    <w:p w14:paraId="2C605444" w14:textId="77777777" w:rsidR="00703494" w:rsidRDefault="00703494" w:rsidP="00703494">
      <w:pPr>
        <w:rPr>
          <w:rFonts w:ascii="Myriad Pro" w:hAnsi="Myriad Pro"/>
          <w:szCs w:val="22"/>
        </w:rPr>
      </w:pPr>
    </w:p>
    <w:p w14:paraId="44DF90AD" w14:textId="77777777" w:rsidR="00703494" w:rsidRDefault="00703494" w:rsidP="0013034A">
      <w:pPr>
        <w:rPr>
          <w:rFonts w:ascii="Myriad Pro" w:hAnsi="Myriad Pro"/>
          <w:b/>
          <w:bCs/>
          <w:color w:val="1F3864" w:themeColor="accent1" w:themeShade="80"/>
          <w:sz w:val="44"/>
          <w:szCs w:val="44"/>
        </w:rPr>
      </w:pPr>
    </w:p>
    <w:sectPr w:rsidR="00703494" w:rsidSect="00D44155">
      <w:footerReference w:type="default" r:id="rId16"/>
      <w:footerReference w:type="first" r:id="rId17"/>
      <w:pgSz w:w="12240" w:h="15840"/>
      <w:pgMar w:top="2410" w:right="1440" w:bottom="1440" w:left="1440" w:header="28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B7E0" w14:textId="77777777" w:rsidR="00D44155" w:rsidRDefault="00D44155" w:rsidP="0080439D">
      <w:r>
        <w:separator/>
      </w:r>
    </w:p>
  </w:endnote>
  <w:endnote w:type="continuationSeparator" w:id="0">
    <w:p w14:paraId="5ACCA908" w14:textId="77777777" w:rsidR="00D44155" w:rsidRDefault="00D44155" w:rsidP="0080439D">
      <w:r>
        <w:continuationSeparator/>
      </w:r>
    </w:p>
  </w:endnote>
  <w:endnote w:type="continuationNotice" w:id="1">
    <w:p w14:paraId="020B20D6" w14:textId="77777777" w:rsidR="00D44155" w:rsidRDefault="00D44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charset w:val="00"/>
    <w:family w:val="swiss"/>
    <w:pitch w:val="variable"/>
    <w:sig w:usb0="2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ABA3" w14:textId="40C2E996" w:rsidR="00EF1A74" w:rsidRDefault="00EF1A74" w:rsidP="00EF1A74">
    <w:pPr>
      <w:pStyle w:val="Footer"/>
      <w:jc w:val="center"/>
    </w:pPr>
  </w:p>
  <w:p w14:paraId="31C819AD" w14:textId="6EB5C3E2" w:rsidR="00020FF9" w:rsidRDefault="00020FF9" w:rsidP="00EF1A74">
    <w:pPr>
      <w:pStyle w:val="Footer"/>
      <w:jc w:val="center"/>
    </w:pPr>
    <w:r w:rsidRPr="0080439D">
      <w:rPr>
        <w:noProof/>
      </w:rPr>
      <w:drawing>
        <wp:anchor distT="0" distB="0" distL="114300" distR="114300" simplePos="0" relativeHeight="251658240" behindDoc="0" locked="0" layoutInCell="1" allowOverlap="1" wp14:anchorId="0828F780" wp14:editId="483D2AF5">
          <wp:simplePos x="0" y="0"/>
          <wp:positionH relativeFrom="column">
            <wp:posOffset>-897890</wp:posOffset>
          </wp:positionH>
          <wp:positionV relativeFrom="paragraph">
            <wp:posOffset>-158750</wp:posOffset>
          </wp:positionV>
          <wp:extent cx="7802880" cy="812800"/>
          <wp:effectExtent l="0" t="0" r="0" b="0"/>
          <wp:wrapNone/>
          <wp:docPr id="424499293" name="Picture 424499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38D0" w14:textId="22005AB5" w:rsidR="00B51545" w:rsidRDefault="00B51545">
    <w:pPr>
      <w:pStyle w:val="Footer"/>
    </w:pPr>
    <w:r w:rsidRPr="0080439D">
      <w:rPr>
        <w:noProof/>
      </w:rPr>
      <w:drawing>
        <wp:anchor distT="0" distB="0" distL="114300" distR="114300" simplePos="0" relativeHeight="251658242" behindDoc="0" locked="0" layoutInCell="1" allowOverlap="1" wp14:anchorId="02A48EC0" wp14:editId="525E07AE">
          <wp:simplePos x="0" y="0"/>
          <wp:positionH relativeFrom="column">
            <wp:posOffset>-914400</wp:posOffset>
          </wp:positionH>
          <wp:positionV relativeFrom="paragraph">
            <wp:posOffset>-171450</wp:posOffset>
          </wp:positionV>
          <wp:extent cx="7802880" cy="812800"/>
          <wp:effectExtent l="0" t="0" r="0" b="0"/>
          <wp:wrapNone/>
          <wp:docPr id="1470696505" name="Picture 1470696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E6420" w14:textId="77777777" w:rsidR="00D44155" w:rsidRDefault="00D44155" w:rsidP="0080439D">
      <w:r>
        <w:separator/>
      </w:r>
    </w:p>
  </w:footnote>
  <w:footnote w:type="continuationSeparator" w:id="0">
    <w:p w14:paraId="65817C2D" w14:textId="77777777" w:rsidR="00D44155" w:rsidRDefault="00D44155" w:rsidP="0080439D">
      <w:r>
        <w:continuationSeparator/>
      </w:r>
    </w:p>
  </w:footnote>
  <w:footnote w:type="continuationNotice" w:id="1">
    <w:p w14:paraId="2B263E06" w14:textId="77777777" w:rsidR="00D44155" w:rsidRDefault="00D441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1C4FE34"/>
    <w:name w:val="WW8Num1"/>
    <w:lvl w:ilvl="0">
      <w:start w:val="1"/>
      <w:numFmt w:val="bullet"/>
      <w:lvlText w:val=""/>
      <w:lvlJc w:val="left"/>
      <w:pPr>
        <w:tabs>
          <w:tab w:val="num" w:pos="0"/>
        </w:tabs>
        <w:ind w:left="810" w:hanging="360"/>
      </w:pPr>
      <w:rPr>
        <w:rFonts w:ascii="Wingdings" w:hAnsi="Wingdings" w:cs="Symbol" w:hint="default"/>
        <w:sz w:val="20"/>
      </w:rPr>
    </w:lvl>
  </w:abstractNum>
  <w:abstractNum w:abstractNumId="1" w15:restartNumberingAfterBreak="0">
    <w:nsid w:val="01D025E6"/>
    <w:multiLevelType w:val="hybridMultilevel"/>
    <w:tmpl w:val="759E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23DE6"/>
    <w:multiLevelType w:val="hybridMultilevel"/>
    <w:tmpl w:val="E0A4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90119"/>
    <w:multiLevelType w:val="hybridMultilevel"/>
    <w:tmpl w:val="89C25D6E"/>
    <w:lvl w:ilvl="0" w:tplc="A4FE1C92">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D3136"/>
    <w:multiLevelType w:val="hybridMultilevel"/>
    <w:tmpl w:val="475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96407"/>
    <w:multiLevelType w:val="hybridMultilevel"/>
    <w:tmpl w:val="6CC4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E4640"/>
    <w:multiLevelType w:val="multilevel"/>
    <w:tmpl w:val="75B40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D394C"/>
    <w:multiLevelType w:val="hybridMultilevel"/>
    <w:tmpl w:val="AACE4DC0"/>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650BF"/>
    <w:multiLevelType w:val="hybridMultilevel"/>
    <w:tmpl w:val="DB3C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0072F"/>
    <w:multiLevelType w:val="hybridMultilevel"/>
    <w:tmpl w:val="9BE4097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000179"/>
    <w:multiLevelType w:val="hybridMultilevel"/>
    <w:tmpl w:val="1BF030D0"/>
    <w:lvl w:ilvl="0" w:tplc="F8AC872E">
      <w:start w:val="1"/>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94554"/>
    <w:multiLevelType w:val="hybridMultilevel"/>
    <w:tmpl w:val="CA14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2014E"/>
    <w:multiLevelType w:val="hybridMultilevel"/>
    <w:tmpl w:val="6E84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85736"/>
    <w:multiLevelType w:val="hybridMultilevel"/>
    <w:tmpl w:val="FC0E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B68BA"/>
    <w:multiLevelType w:val="hybridMultilevel"/>
    <w:tmpl w:val="0D84D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B1E13"/>
    <w:multiLevelType w:val="hybridMultilevel"/>
    <w:tmpl w:val="F61E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C706E"/>
    <w:multiLevelType w:val="hybridMultilevel"/>
    <w:tmpl w:val="DEF4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75D01"/>
    <w:multiLevelType w:val="hybridMultilevel"/>
    <w:tmpl w:val="67AA40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77706"/>
    <w:multiLevelType w:val="hybridMultilevel"/>
    <w:tmpl w:val="D4A09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D3277"/>
    <w:multiLevelType w:val="hybridMultilevel"/>
    <w:tmpl w:val="70F62D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C5C8E"/>
    <w:multiLevelType w:val="hybridMultilevel"/>
    <w:tmpl w:val="1B9CA066"/>
    <w:lvl w:ilvl="0" w:tplc="F0AA36DC">
      <w:numFmt w:val="bullet"/>
      <w:lvlText w:val="•"/>
      <w:lvlJc w:val="left"/>
      <w:pPr>
        <w:ind w:left="720" w:hanging="360"/>
      </w:pPr>
      <w:rPr>
        <w:rFonts w:ascii="Myriad Pro" w:eastAsiaTheme="minorEastAsia"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34E7E"/>
    <w:multiLevelType w:val="multilevel"/>
    <w:tmpl w:val="12C4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C0487D"/>
    <w:multiLevelType w:val="hybridMultilevel"/>
    <w:tmpl w:val="304A14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8241E64"/>
    <w:multiLevelType w:val="hybridMultilevel"/>
    <w:tmpl w:val="9F16751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85B727A"/>
    <w:multiLevelType w:val="hybridMultilevel"/>
    <w:tmpl w:val="0DC24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F5EE8"/>
    <w:multiLevelType w:val="hybridMultilevel"/>
    <w:tmpl w:val="754A1372"/>
    <w:lvl w:ilvl="0" w:tplc="04090005">
      <w:start w:val="1"/>
      <w:numFmt w:val="bullet"/>
      <w:lvlText w:val=""/>
      <w:lvlJc w:val="left"/>
      <w:pPr>
        <w:ind w:left="843" w:hanging="360"/>
      </w:pPr>
      <w:rPr>
        <w:rFonts w:ascii="Wingdings" w:hAnsi="Wingding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26" w15:restartNumberingAfterBreak="0">
    <w:nsid w:val="5D0B2E34"/>
    <w:multiLevelType w:val="hybridMultilevel"/>
    <w:tmpl w:val="6A000A6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F673CDD"/>
    <w:multiLevelType w:val="hybridMultilevel"/>
    <w:tmpl w:val="4140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8408C2"/>
    <w:multiLevelType w:val="multilevel"/>
    <w:tmpl w:val="7AFA2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4F4AAC"/>
    <w:multiLevelType w:val="multilevel"/>
    <w:tmpl w:val="B8E0E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7C113E"/>
    <w:multiLevelType w:val="hybridMultilevel"/>
    <w:tmpl w:val="5410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449D9"/>
    <w:multiLevelType w:val="hybridMultilevel"/>
    <w:tmpl w:val="16063F74"/>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810168"/>
    <w:multiLevelType w:val="hybridMultilevel"/>
    <w:tmpl w:val="2FF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1E141A"/>
    <w:multiLevelType w:val="hybridMultilevel"/>
    <w:tmpl w:val="AB48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730660"/>
    <w:multiLevelType w:val="hybridMultilevel"/>
    <w:tmpl w:val="A60A3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D1C66"/>
    <w:multiLevelType w:val="hybridMultilevel"/>
    <w:tmpl w:val="5F943760"/>
    <w:lvl w:ilvl="0" w:tplc="04090005">
      <w:start w:val="1"/>
      <w:numFmt w:val="bullet"/>
      <w:lvlText w:val=""/>
      <w:lvlJc w:val="left"/>
      <w:pPr>
        <w:ind w:left="665" w:hanging="360"/>
      </w:pPr>
      <w:rPr>
        <w:rFonts w:ascii="Wingdings" w:hAnsi="Wingdings"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36" w15:restartNumberingAfterBreak="0">
    <w:nsid w:val="77E97853"/>
    <w:multiLevelType w:val="hybridMultilevel"/>
    <w:tmpl w:val="A0E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BC00E1"/>
    <w:multiLevelType w:val="hybridMultilevel"/>
    <w:tmpl w:val="DAF4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559559">
    <w:abstractNumId w:val="1"/>
  </w:num>
  <w:num w:numId="2" w16cid:durableId="586886300">
    <w:abstractNumId w:val="30"/>
  </w:num>
  <w:num w:numId="3" w16cid:durableId="1294285117">
    <w:abstractNumId w:val="4"/>
  </w:num>
  <w:num w:numId="4" w16cid:durableId="966081204">
    <w:abstractNumId w:val="22"/>
  </w:num>
  <w:num w:numId="5" w16cid:durableId="499588295">
    <w:abstractNumId w:val="35"/>
  </w:num>
  <w:num w:numId="6" w16cid:durableId="335966113">
    <w:abstractNumId w:val="13"/>
  </w:num>
  <w:num w:numId="7" w16cid:durableId="28652998">
    <w:abstractNumId w:val="36"/>
  </w:num>
  <w:num w:numId="8" w16cid:durableId="306787125">
    <w:abstractNumId w:val="34"/>
  </w:num>
  <w:num w:numId="9" w16cid:durableId="1784881429">
    <w:abstractNumId w:val="20"/>
  </w:num>
  <w:num w:numId="10" w16cid:durableId="1959603052">
    <w:abstractNumId w:val="24"/>
  </w:num>
  <w:num w:numId="11" w16cid:durableId="587620263">
    <w:abstractNumId w:val="18"/>
  </w:num>
  <w:num w:numId="12" w16cid:durableId="1262882480">
    <w:abstractNumId w:val="37"/>
  </w:num>
  <w:num w:numId="13" w16cid:durableId="1884754854">
    <w:abstractNumId w:val="19"/>
  </w:num>
  <w:num w:numId="14" w16cid:durableId="782848361">
    <w:abstractNumId w:val="0"/>
  </w:num>
  <w:num w:numId="15" w16cid:durableId="67464861">
    <w:abstractNumId w:val="18"/>
  </w:num>
  <w:num w:numId="16" w16cid:durableId="1698852278">
    <w:abstractNumId w:val="35"/>
  </w:num>
  <w:num w:numId="17" w16cid:durableId="1384138209">
    <w:abstractNumId w:val="35"/>
  </w:num>
  <w:num w:numId="18" w16cid:durableId="1570268933">
    <w:abstractNumId w:val="2"/>
  </w:num>
  <w:num w:numId="19" w16cid:durableId="1618483646">
    <w:abstractNumId w:val="25"/>
  </w:num>
  <w:num w:numId="20" w16cid:durableId="339426877">
    <w:abstractNumId w:val="10"/>
  </w:num>
  <w:num w:numId="21" w16cid:durableId="471749308">
    <w:abstractNumId w:val="26"/>
  </w:num>
  <w:num w:numId="22" w16cid:durableId="1393652044">
    <w:abstractNumId w:val="14"/>
  </w:num>
  <w:num w:numId="23" w16cid:durableId="1046295450">
    <w:abstractNumId w:val="17"/>
  </w:num>
  <w:num w:numId="24" w16cid:durableId="335035547">
    <w:abstractNumId w:val="32"/>
  </w:num>
  <w:num w:numId="25" w16cid:durableId="683479187">
    <w:abstractNumId w:val="31"/>
  </w:num>
  <w:num w:numId="26" w16cid:durableId="1582325780">
    <w:abstractNumId w:val="7"/>
  </w:num>
  <w:num w:numId="27" w16cid:durableId="1163198966">
    <w:abstractNumId w:val="27"/>
  </w:num>
  <w:num w:numId="28" w16cid:durableId="2036073730">
    <w:abstractNumId w:val="3"/>
  </w:num>
  <w:num w:numId="29" w16cid:durableId="1236161668">
    <w:abstractNumId w:val="6"/>
  </w:num>
  <w:num w:numId="30" w16cid:durableId="12080097">
    <w:abstractNumId w:val="21"/>
  </w:num>
  <w:num w:numId="31" w16cid:durableId="878472584">
    <w:abstractNumId w:val="29"/>
  </w:num>
  <w:num w:numId="32" w16cid:durableId="855267945">
    <w:abstractNumId w:val="11"/>
  </w:num>
  <w:num w:numId="33" w16cid:durableId="561722644">
    <w:abstractNumId w:val="33"/>
  </w:num>
  <w:num w:numId="34" w16cid:durableId="1347903185">
    <w:abstractNumId w:val="9"/>
  </w:num>
  <w:num w:numId="35" w16cid:durableId="274218948">
    <w:abstractNumId w:val="5"/>
  </w:num>
  <w:num w:numId="36" w16cid:durableId="554776270">
    <w:abstractNumId w:val="15"/>
  </w:num>
  <w:num w:numId="37" w16cid:durableId="192808624">
    <w:abstractNumId w:val="8"/>
  </w:num>
  <w:num w:numId="38" w16cid:durableId="198248035">
    <w:abstractNumId w:val="16"/>
  </w:num>
  <w:num w:numId="39" w16cid:durableId="1449818676">
    <w:abstractNumId w:val="28"/>
  </w:num>
  <w:num w:numId="40" w16cid:durableId="468667244">
    <w:abstractNumId w:val="12"/>
  </w:num>
  <w:num w:numId="41" w16cid:durableId="18793209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3sLQ0NzE0MzMxMzJS0lEKTi0uzszPAykwrQUAczHhPSwAAAA="/>
  </w:docVars>
  <w:rsids>
    <w:rsidRoot w:val="0080439D"/>
    <w:rsid w:val="00002F2D"/>
    <w:rsid w:val="00003129"/>
    <w:rsid w:val="00011C2C"/>
    <w:rsid w:val="00014AFF"/>
    <w:rsid w:val="000158E6"/>
    <w:rsid w:val="00020FF9"/>
    <w:rsid w:val="00022FF6"/>
    <w:rsid w:val="000246F6"/>
    <w:rsid w:val="00027BE8"/>
    <w:rsid w:val="000309F4"/>
    <w:rsid w:val="00032401"/>
    <w:rsid w:val="00044BB3"/>
    <w:rsid w:val="00050A37"/>
    <w:rsid w:val="00050BB8"/>
    <w:rsid w:val="00055091"/>
    <w:rsid w:val="00061D4E"/>
    <w:rsid w:val="00067977"/>
    <w:rsid w:val="00067BD0"/>
    <w:rsid w:val="00075021"/>
    <w:rsid w:val="00077AEA"/>
    <w:rsid w:val="000838B9"/>
    <w:rsid w:val="000843F5"/>
    <w:rsid w:val="000874A9"/>
    <w:rsid w:val="000A0022"/>
    <w:rsid w:val="000B5AD7"/>
    <w:rsid w:val="000C5FB2"/>
    <w:rsid w:val="000C6177"/>
    <w:rsid w:val="000D0B78"/>
    <w:rsid w:val="000D25DC"/>
    <w:rsid w:val="000E0883"/>
    <w:rsid w:val="000E2E05"/>
    <w:rsid w:val="000E7493"/>
    <w:rsid w:val="000F19CE"/>
    <w:rsid w:val="001007CA"/>
    <w:rsid w:val="001046CF"/>
    <w:rsid w:val="00104A5C"/>
    <w:rsid w:val="00105944"/>
    <w:rsid w:val="00110FBF"/>
    <w:rsid w:val="00116ECA"/>
    <w:rsid w:val="0012583C"/>
    <w:rsid w:val="00126D07"/>
    <w:rsid w:val="0013008C"/>
    <w:rsid w:val="0013034A"/>
    <w:rsid w:val="001303CE"/>
    <w:rsid w:val="00130473"/>
    <w:rsid w:val="0013157F"/>
    <w:rsid w:val="00134A03"/>
    <w:rsid w:val="00134D10"/>
    <w:rsid w:val="001356B0"/>
    <w:rsid w:val="001421D8"/>
    <w:rsid w:val="001471F0"/>
    <w:rsid w:val="00151720"/>
    <w:rsid w:val="00154AB2"/>
    <w:rsid w:val="00160C43"/>
    <w:rsid w:val="0016162E"/>
    <w:rsid w:val="00162901"/>
    <w:rsid w:val="001649CB"/>
    <w:rsid w:val="001674AD"/>
    <w:rsid w:val="00173D50"/>
    <w:rsid w:val="00174B9D"/>
    <w:rsid w:val="00180842"/>
    <w:rsid w:val="001827D0"/>
    <w:rsid w:val="00184021"/>
    <w:rsid w:val="00186C66"/>
    <w:rsid w:val="001874CF"/>
    <w:rsid w:val="001A1189"/>
    <w:rsid w:val="001A319C"/>
    <w:rsid w:val="001B2E16"/>
    <w:rsid w:val="001C583F"/>
    <w:rsid w:val="001D0AF4"/>
    <w:rsid w:val="001D6F2F"/>
    <w:rsid w:val="001E1A72"/>
    <w:rsid w:val="001E5356"/>
    <w:rsid w:val="002019B2"/>
    <w:rsid w:val="00206801"/>
    <w:rsid w:val="00206ED6"/>
    <w:rsid w:val="0020718C"/>
    <w:rsid w:val="00214086"/>
    <w:rsid w:val="00217242"/>
    <w:rsid w:val="00226C54"/>
    <w:rsid w:val="00235DC3"/>
    <w:rsid w:val="00245682"/>
    <w:rsid w:val="00250088"/>
    <w:rsid w:val="00254F63"/>
    <w:rsid w:val="00263501"/>
    <w:rsid w:val="00266573"/>
    <w:rsid w:val="00281D32"/>
    <w:rsid w:val="002827EB"/>
    <w:rsid w:val="002859A0"/>
    <w:rsid w:val="00287B42"/>
    <w:rsid w:val="00287DC6"/>
    <w:rsid w:val="0029218C"/>
    <w:rsid w:val="002968B5"/>
    <w:rsid w:val="002A7945"/>
    <w:rsid w:val="002B0677"/>
    <w:rsid w:val="002B5038"/>
    <w:rsid w:val="002B6ED1"/>
    <w:rsid w:val="002C3207"/>
    <w:rsid w:val="002C4D3F"/>
    <w:rsid w:val="002C6792"/>
    <w:rsid w:val="002D6D70"/>
    <w:rsid w:val="002E2F3C"/>
    <w:rsid w:val="002E35B0"/>
    <w:rsid w:val="002E6A43"/>
    <w:rsid w:val="002F027C"/>
    <w:rsid w:val="002F0CC0"/>
    <w:rsid w:val="0030046A"/>
    <w:rsid w:val="003029E7"/>
    <w:rsid w:val="00307D03"/>
    <w:rsid w:val="0031223F"/>
    <w:rsid w:val="00320BB0"/>
    <w:rsid w:val="00333663"/>
    <w:rsid w:val="00336E21"/>
    <w:rsid w:val="00342C47"/>
    <w:rsid w:val="003435A5"/>
    <w:rsid w:val="00350019"/>
    <w:rsid w:val="00351113"/>
    <w:rsid w:val="00353E48"/>
    <w:rsid w:val="00357244"/>
    <w:rsid w:val="00360148"/>
    <w:rsid w:val="00360F16"/>
    <w:rsid w:val="003663A5"/>
    <w:rsid w:val="00371902"/>
    <w:rsid w:val="00376BB6"/>
    <w:rsid w:val="003816B8"/>
    <w:rsid w:val="0038211C"/>
    <w:rsid w:val="003A129E"/>
    <w:rsid w:val="003A7F1E"/>
    <w:rsid w:val="003B247D"/>
    <w:rsid w:val="003B3080"/>
    <w:rsid w:val="003B5DAD"/>
    <w:rsid w:val="003B62C1"/>
    <w:rsid w:val="003B6AD2"/>
    <w:rsid w:val="003C442D"/>
    <w:rsid w:val="003C6BC6"/>
    <w:rsid w:val="003D04AD"/>
    <w:rsid w:val="003D04F1"/>
    <w:rsid w:val="003D76FE"/>
    <w:rsid w:val="003E35B7"/>
    <w:rsid w:val="003E396E"/>
    <w:rsid w:val="003E3B1C"/>
    <w:rsid w:val="003E5521"/>
    <w:rsid w:val="003E56F0"/>
    <w:rsid w:val="003F0282"/>
    <w:rsid w:val="003F3A63"/>
    <w:rsid w:val="003F44E6"/>
    <w:rsid w:val="00401005"/>
    <w:rsid w:val="00412592"/>
    <w:rsid w:val="00412BEA"/>
    <w:rsid w:val="004327F3"/>
    <w:rsid w:val="00432A7A"/>
    <w:rsid w:val="00432C73"/>
    <w:rsid w:val="004358DA"/>
    <w:rsid w:val="00435D7B"/>
    <w:rsid w:val="0043688C"/>
    <w:rsid w:val="00440614"/>
    <w:rsid w:val="00447A1C"/>
    <w:rsid w:val="00450D15"/>
    <w:rsid w:val="0045309E"/>
    <w:rsid w:val="00454ED1"/>
    <w:rsid w:val="00455982"/>
    <w:rsid w:val="00463E33"/>
    <w:rsid w:val="00467E02"/>
    <w:rsid w:val="004701A2"/>
    <w:rsid w:val="00476FC5"/>
    <w:rsid w:val="0048145B"/>
    <w:rsid w:val="004833D7"/>
    <w:rsid w:val="00490560"/>
    <w:rsid w:val="004913D9"/>
    <w:rsid w:val="00494E0F"/>
    <w:rsid w:val="00497F4F"/>
    <w:rsid w:val="004A0486"/>
    <w:rsid w:val="004A2942"/>
    <w:rsid w:val="004A332F"/>
    <w:rsid w:val="004B4A5B"/>
    <w:rsid w:val="004B6A5F"/>
    <w:rsid w:val="004C7361"/>
    <w:rsid w:val="004D1B9D"/>
    <w:rsid w:val="004E4209"/>
    <w:rsid w:val="004F0D38"/>
    <w:rsid w:val="004F235C"/>
    <w:rsid w:val="004F2E52"/>
    <w:rsid w:val="004F7F91"/>
    <w:rsid w:val="0050072A"/>
    <w:rsid w:val="0050077B"/>
    <w:rsid w:val="00501C77"/>
    <w:rsid w:val="00525239"/>
    <w:rsid w:val="00525579"/>
    <w:rsid w:val="00530FAD"/>
    <w:rsid w:val="005357A4"/>
    <w:rsid w:val="00545032"/>
    <w:rsid w:val="00553D70"/>
    <w:rsid w:val="00554194"/>
    <w:rsid w:val="00560806"/>
    <w:rsid w:val="005673BF"/>
    <w:rsid w:val="00580BE2"/>
    <w:rsid w:val="00581917"/>
    <w:rsid w:val="00584BE7"/>
    <w:rsid w:val="00586187"/>
    <w:rsid w:val="00586EE0"/>
    <w:rsid w:val="00591DC3"/>
    <w:rsid w:val="0059252C"/>
    <w:rsid w:val="00592DFF"/>
    <w:rsid w:val="0059522C"/>
    <w:rsid w:val="00595321"/>
    <w:rsid w:val="005A1403"/>
    <w:rsid w:val="005A1C28"/>
    <w:rsid w:val="005A3935"/>
    <w:rsid w:val="005A7DB1"/>
    <w:rsid w:val="005B1AB6"/>
    <w:rsid w:val="005B1F54"/>
    <w:rsid w:val="005C79DB"/>
    <w:rsid w:val="005D0404"/>
    <w:rsid w:val="005D3E78"/>
    <w:rsid w:val="005D67EE"/>
    <w:rsid w:val="005D77C5"/>
    <w:rsid w:val="005E068B"/>
    <w:rsid w:val="005E393E"/>
    <w:rsid w:val="005E579A"/>
    <w:rsid w:val="005E582D"/>
    <w:rsid w:val="005F17CD"/>
    <w:rsid w:val="005F2224"/>
    <w:rsid w:val="005F370E"/>
    <w:rsid w:val="00607F4E"/>
    <w:rsid w:val="006213E5"/>
    <w:rsid w:val="0063092B"/>
    <w:rsid w:val="00632361"/>
    <w:rsid w:val="006325F2"/>
    <w:rsid w:val="006340C4"/>
    <w:rsid w:val="006474EC"/>
    <w:rsid w:val="00652763"/>
    <w:rsid w:val="00660D1A"/>
    <w:rsid w:val="00661589"/>
    <w:rsid w:val="006674C5"/>
    <w:rsid w:val="00671963"/>
    <w:rsid w:val="0067657A"/>
    <w:rsid w:val="00683040"/>
    <w:rsid w:val="006865F6"/>
    <w:rsid w:val="00690E37"/>
    <w:rsid w:val="006916F3"/>
    <w:rsid w:val="006953DD"/>
    <w:rsid w:val="006A0A14"/>
    <w:rsid w:val="006B0CF1"/>
    <w:rsid w:val="006B3298"/>
    <w:rsid w:val="006B60A1"/>
    <w:rsid w:val="006C7D25"/>
    <w:rsid w:val="006D1A6B"/>
    <w:rsid w:val="006D6443"/>
    <w:rsid w:val="006D7BFE"/>
    <w:rsid w:val="006E0B9B"/>
    <w:rsid w:val="006F0C25"/>
    <w:rsid w:val="00700721"/>
    <w:rsid w:val="00703494"/>
    <w:rsid w:val="007035D2"/>
    <w:rsid w:val="00706751"/>
    <w:rsid w:val="007078B7"/>
    <w:rsid w:val="00710949"/>
    <w:rsid w:val="00711930"/>
    <w:rsid w:val="00720B2D"/>
    <w:rsid w:val="00721CB1"/>
    <w:rsid w:val="007234C3"/>
    <w:rsid w:val="00730E6A"/>
    <w:rsid w:val="00732D37"/>
    <w:rsid w:val="0073786B"/>
    <w:rsid w:val="007403E8"/>
    <w:rsid w:val="00742D2A"/>
    <w:rsid w:val="00747FFB"/>
    <w:rsid w:val="00750465"/>
    <w:rsid w:val="007532E8"/>
    <w:rsid w:val="00756DFD"/>
    <w:rsid w:val="007620E7"/>
    <w:rsid w:val="00762BDE"/>
    <w:rsid w:val="007758DC"/>
    <w:rsid w:val="00775BC9"/>
    <w:rsid w:val="0078090D"/>
    <w:rsid w:val="007830CA"/>
    <w:rsid w:val="0078421F"/>
    <w:rsid w:val="00785D79"/>
    <w:rsid w:val="0078618C"/>
    <w:rsid w:val="00790EBF"/>
    <w:rsid w:val="007A1889"/>
    <w:rsid w:val="007B033D"/>
    <w:rsid w:val="007B3E37"/>
    <w:rsid w:val="007C0D2E"/>
    <w:rsid w:val="007C697C"/>
    <w:rsid w:val="007D630F"/>
    <w:rsid w:val="007D6C6E"/>
    <w:rsid w:val="007E2343"/>
    <w:rsid w:val="007E4594"/>
    <w:rsid w:val="007E63D3"/>
    <w:rsid w:val="007E7319"/>
    <w:rsid w:val="007F0D38"/>
    <w:rsid w:val="007F44FD"/>
    <w:rsid w:val="007F5542"/>
    <w:rsid w:val="00800BE7"/>
    <w:rsid w:val="0080439D"/>
    <w:rsid w:val="00810EBE"/>
    <w:rsid w:val="0081348A"/>
    <w:rsid w:val="00814902"/>
    <w:rsid w:val="00817EB9"/>
    <w:rsid w:val="00822334"/>
    <w:rsid w:val="00825F8D"/>
    <w:rsid w:val="00830B10"/>
    <w:rsid w:val="00836FCF"/>
    <w:rsid w:val="00841A51"/>
    <w:rsid w:val="00853E01"/>
    <w:rsid w:val="0085463F"/>
    <w:rsid w:val="00861959"/>
    <w:rsid w:val="008679C5"/>
    <w:rsid w:val="008722C5"/>
    <w:rsid w:val="008725EC"/>
    <w:rsid w:val="008764A3"/>
    <w:rsid w:val="008816C5"/>
    <w:rsid w:val="00881DAA"/>
    <w:rsid w:val="00882E08"/>
    <w:rsid w:val="0089072A"/>
    <w:rsid w:val="00894129"/>
    <w:rsid w:val="008942EB"/>
    <w:rsid w:val="00896461"/>
    <w:rsid w:val="008A05F6"/>
    <w:rsid w:val="008A25BE"/>
    <w:rsid w:val="008A4474"/>
    <w:rsid w:val="008A64A8"/>
    <w:rsid w:val="008B2A46"/>
    <w:rsid w:val="008B4D0E"/>
    <w:rsid w:val="008B5CA1"/>
    <w:rsid w:val="008C098E"/>
    <w:rsid w:val="008D25D4"/>
    <w:rsid w:val="008D7E42"/>
    <w:rsid w:val="008E2EDF"/>
    <w:rsid w:val="008F0222"/>
    <w:rsid w:val="008F5BB5"/>
    <w:rsid w:val="00900245"/>
    <w:rsid w:val="00900497"/>
    <w:rsid w:val="0090163B"/>
    <w:rsid w:val="00905225"/>
    <w:rsid w:val="00911E79"/>
    <w:rsid w:val="009226FB"/>
    <w:rsid w:val="009237C8"/>
    <w:rsid w:val="00932477"/>
    <w:rsid w:val="009347BE"/>
    <w:rsid w:val="00935CC9"/>
    <w:rsid w:val="00940552"/>
    <w:rsid w:val="00954393"/>
    <w:rsid w:val="009556D4"/>
    <w:rsid w:val="009632D4"/>
    <w:rsid w:val="0096411C"/>
    <w:rsid w:val="00975765"/>
    <w:rsid w:val="00980180"/>
    <w:rsid w:val="00980718"/>
    <w:rsid w:val="009828CC"/>
    <w:rsid w:val="009856E0"/>
    <w:rsid w:val="00992758"/>
    <w:rsid w:val="00997221"/>
    <w:rsid w:val="009A53C6"/>
    <w:rsid w:val="009A544D"/>
    <w:rsid w:val="009B28B4"/>
    <w:rsid w:val="009B4046"/>
    <w:rsid w:val="009B5603"/>
    <w:rsid w:val="009B6D55"/>
    <w:rsid w:val="009B6EF2"/>
    <w:rsid w:val="009C1C24"/>
    <w:rsid w:val="009C2552"/>
    <w:rsid w:val="009C5425"/>
    <w:rsid w:val="009C741E"/>
    <w:rsid w:val="009D0392"/>
    <w:rsid w:val="009D7886"/>
    <w:rsid w:val="009E22C3"/>
    <w:rsid w:val="009E7B42"/>
    <w:rsid w:val="009F511F"/>
    <w:rsid w:val="00A015EB"/>
    <w:rsid w:val="00A02159"/>
    <w:rsid w:val="00A02B20"/>
    <w:rsid w:val="00A0366D"/>
    <w:rsid w:val="00A11FA8"/>
    <w:rsid w:val="00A130D3"/>
    <w:rsid w:val="00A15FB6"/>
    <w:rsid w:val="00A214AD"/>
    <w:rsid w:val="00A22E2C"/>
    <w:rsid w:val="00A31873"/>
    <w:rsid w:val="00A347A5"/>
    <w:rsid w:val="00A439DB"/>
    <w:rsid w:val="00A43AF7"/>
    <w:rsid w:val="00A45BB8"/>
    <w:rsid w:val="00A537EF"/>
    <w:rsid w:val="00A70445"/>
    <w:rsid w:val="00A73E83"/>
    <w:rsid w:val="00A74CFD"/>
    <w:rsid w:val="00A76780"/>
    <w:rsid w:val="00A805EE"/>
    <w:rsid w:val="00A80DA8"/>
    <w:rsid w:val="00A8138A"/>
    <w:rsid w:val="00A92388"/>
    <w:rsid w:val="00A92839"/>
    <w:rsid w:val="00A92869"/>
    <w:rsid w:val="00A9301F"/>
    <w:rsid w:val="00A9506E"/>
    <w:rsid w:val="00A9528F"/>
    <w:rsid w:val="00A97957"/>
    <w:rsid w:val="00A97BCC"/>
    <w:rsid w:val="00AA6B8B"/>
    <w:rsid w:val="00AA6D83"/>
    <w:rsid w:val="00AA6E13"/>
    <w:rsid w:val="00AB1F24"/>
    <w:rsid w:val="00AB332D"/>
    <w:rsid w:val="00AC12DB"/>
    <w:rsid w:val="00AC4FCD"/>
    <w:rsid w:val="00AC650D"/>
    <w:rsid w:val="00AD06FB"/>
    <w:rsid w:val="00AD1D5B"/>
    <w:rsid w:val="00AE134C"/>
    <w:rsid w:val="00AE283E"/>
    <w:rsid w:val="00AE3AAE"/>
    <w:rsid w:val="00AF4A3C"/>
    <w:rsid w:val="00AF5F12"/>
    <w:rsid w:val="00B00286"/>
    <w:rsid w:val="00B003D7"/>
    <w:rsid w:val="00B13D6F"/>
    <w:rsid w:val="00B13F3E"/>
    <w:rsid w:val="00B20BB1"/>
    <w:rsid w:val="00B217E3"/>
    <w:rsid w:val="00B2263C"/>
    <w:rsid w:val="00B23719"/>
    <w:rsid w:val="00B36325"/>
    <w:rsid w:val="00B36391"/>
    <w:rsid w:val="00B41DC4"/>
    <w:rsid w:val="00B42C12"/>
    <w:rsid w:val="00B469E3"/>
    <w:rsid w:val="00B506B8"/>
    <w:rsid w:val="00B51545"/>
    <w:rsid w:val="00B61DA8"/>
    <w:rsid w:val="00B62AFB"/>
    <w:rsid w:val="00B65F38"/>
    <w:rsid w:val="00B66C88"/>
    <w:rsid w:val="00B771B7"/>
    <w:rsid w:val="00B807A2"/>
    <w:rsid w:val="00B80F90"/>
    <w:rsid w:val="00B81B9F"/>
    <w:rsid w:val="00B83078"/>
    <w:rsid w:val="00B90FCD"/>
    <w:rsid w:val="00B918BB"/>
    <w:rsid w:val="00BA0ACA"/>
    <w:rsid w:val="00BC005D"/>
    <w:rsid w:val="00BC15DC"/>
    <w:rsid w:val="00BD63B1"/>
    <w:rsid w:val="00BE18B9"/>
    <w:rsid w:val="00BE4C38"/>
    <w:rsid w:val="00BE6CFD"/>
    <w:rsid w:val="00BF393D"/>
    <w:rsid w:val="00BF397F"/>
    <w:rsid w:val="00C04DCB"/>
    <w:rsid w:val="00C05FA9"/>
    <w:rsid w:val="00C070D3"/>
    <w:rsid w:val="00C071B6"/>
    <w:rsid w:val="00C15111"/>
    <w:rsid w:val="00C27922"/>
    <w:rsid w:val="00C30A09"/>
    <w:rsid w:val="00C37319"/>
    <w:rsid w:val="00C41AA1"/>
    <w:rsid w:val="00C50830"/>
    <w:rsid w:val="00C5585C"/>
    <w:rsid w:val="00C56F60"/>
    <w:rsid w:val="00C57F0C"/>
    <w:rsid w:val="00C606E8"/>
    <w:rsid w:val="00C626CE"/>
    <w:rsid w:val="00C67E79"/>
    <w:rsid w:val="00C74FB0"/>
    <w:rsid w:val="00C75D2A"/>
    <w:rsid w:val="00C805DD"/>
    <w:rsid w:val="00C82E0F"/>
    <w:rsid w:val="00C94AA2"/>
    <w:rsid w:val="00C97C89"/>
    <w:rsid w:val="00CA27A2"/>
    <w:rsid w:val="00CA55E6"/>
    <w:rsid w:val="00CA76C3"/>
    <w:rsid w:val="00CA7A2A"/>
    <w:rsid w:val="00CB1224"/>
    <w:rsid w:val="00CB2CB0"/>
    <w:rsid w:val="00CB6E3D"/>
    <w:rsid w:val="00CB7ECE"/>
    <w:rsid w:val="00CC29F8"/>
    <w:rsid w:val="00CC3419"/>
    <w:rsid w:val="00CC384A"/>
    <w:rsid w:val="00CD7EB9"/>
    <w:rsid w:val="00CE5B65"/>
    <w:rsid w:val="00CF13E9"/>
    <w:rsid w:val="00CF51DB"/>
    <w:rsid w:val="00D005AF"/>
    <w:rsid w:val="00D03507"/>
    <w:rsid w:val="00D07C70"/>
    <w:rsid w:val="00D14541"/>
    <w:rsid w:val="00D1557E"/>
    <w:rsid w:val="00D1716E"/>
    <w:rsid w:val="00D17F60"/>
    <w:rsid w:val="00D23E35"/>
    <w:rsid w:val="00D311A5"/>
    <w:rsid w:val="00D32242"/>
    <w:rsid w:val="00D33C4E"/>
    <w:rsid w:val="00D37DFB"/>
    <w:rsid w:val="00D42C29"/>
    <w:rsid w:val="00D44155"/>
    <w:rsid w:val="00D46CEC"/>
    <w:rsid w:val="00D550DD"/>
    <w:rsid w:val="00D61D07"/>
    <w:rsid w:val="00D654C3"/>
    <w:rsid w:val="00D65B3B"/>
    <w:rsid w:val="00D67299"/>
    <w:rsid w:val="00D70A97"/>
    <w:rsid w:val="00D814AE"/>
    <w:rsid w:val="00D84A22"/>
    <w:rsid w:val="00D84DFC"/>
    <w:rsid w:val="00DB30F4"/>
    <w:rsid w:val="00DB4493"/>
    <w:rsid w:val="00DB58AA"/>
    <w:rsid w:val="00DC242C"/>
    <w:rsid w:val="00DC51BD"/>
    <w:rsid w:val="00DC5B84"/>
    <w:rsid w:val="00DC77AA"/>
    <w:rsid w:val="00DD0F7A"/>
    <w:rsid w:val="00DD1C92"/>
    <w:rsid w:val="00DD345E"/>
    <w:rsid w:val="00DE1F7C"/>
    <w:rsid w:val="00E001F9"/>
    <w:rsid w:val="00E014B3"/>
    <w:rsid w:val="00E01D59"/>
    <w:rsid w:val="00E02407"/>
    <w:rsid w:val="00E033CB"/>
    <w:rsid w:val="00E03D90"/>
    <w:rsid w:val="00E04BEF"/>
    <w:rsid w:val="00E06E02"/>
    <w:rsid w:val="00E24963"/>
    <w:rsid w:val="00E36E0A"/>
    <w:rsid w:val="00E443FB"/>
    <w:rsid w:val="00E45F8A"/>
    <w:rsid w:val="00E46692"/>
    <w:rsid w:val="00E51273"/>
    <w:rsid w:val="00E52F0F"/>
    <w:rsid w:val="00E54209"/>
    <w:rsid w:val="00E552AC"/>
    <w:rsid w:val="00E5616D"/>
    <w:rsid w:val="00E626C5"/>
    <w:rsid w:val="00E70D40"/>
    <w:rsid w:val="00E73CEF"/>
    <w:rsid w:val="00E74268"/>
    <w:rsid w:val="00E74B54"/>
    <w:rsid w:val="00E76C61"/>
    <w:rsid w:val="00E807C0"/>
    <w:rsid w:val="00E81BF0"/>
    <w:rsid w:val="00E912CA"/>
    <w:rsid w:val="00E9586E"/>
    <w:rsid w:val="00EA69D4"/>
    <w:rsid w:val="00EB1964"/>
    <w:rsid w:val="00EB2B54"/>
    <w:rsid w:val="00EE4C6D"/>
    <w:rsid w:val="00EF0B42"/>
    <w:rsid w:val="00EF1A74"/>
    <w:rsid w:val="00F0172A"/>
    <w:rsid w:val="00F04542"/>
    <w:rsid w:val="00F06662"/>
    <w:rsid w:val="00F06701"/>
    <w:rsid w:val="00F0707B"/>
    <w:rsid w:val="00F07A22"/>
    <w:rsid w:val="00F17F8E"/>
    <w:rsid w:val="00F20F5A"/>
    <w:rsid w:val="00F333A4"/>
    <w:rsid w:val="00F51245"/>
    <w:rsid w:val="00F51A68"/>
    <w:rsid w:val="00F5565E"/>
    <w:rsid w:val="00F61453"/>
    <w:rsid w:val="00F6717C"/>
    <w:rsid w:val="00F702E6"/>
    <w:rsid w:val="00F704A3"/>
    <w:rsid w:val="00F7351B"/>
    <w:rsid w:val="00F778F7"/>
    <w:rsid w:val="00F82B5D"/>
    <w:rsid w:val="00F9406D"/>
    <w:rsid w:val="00F96B07"/>
    <w:rsid w:val="00FB18D7"/>
    <w:rsid w:val="00FB190E"/>
    <w:rsid w:val="00FC6AA6"/>
    <w:rsid w:val="00FD3F6A"/>
    <w:rsid w:val="00FD4483"/>
    <w:rsid w:val="00FD6C01"/>
    <w:rsid w:val="00FE38EC"/>
    <w:rsid w:val="00FE79BA"/>
    <w:rsid w:val="00FF4086"/>
    <w:rsid w:val="00FF56CB"/>
    <w:rsid w:val="00FF629A"/>
    <w:rsid w:val="03728CF2"/>
    <w:rsid w:val="2A270697"/>
    <w:rsid w:val="2B7F8337"/>
    <w:rsid w:val="36E28178"/>
    <w:rsid w:val="374A611A"/>
    <w:rsid w:val="3E253A55"/>
    <w:rsid w:val="4018CE94"/>
    <w:rsid w:val="53E969D8"/>
    <w:rsid w:val="57EBF1D9"/>
    <w:rsid w:val="6DAE5D6E"/>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BDBE3"/>
  <w15:chartTrackingRefBased/>
  <w15:docId w15:val="{9EB27F38-06C4-9C43-AB38-6B8E1463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DFB"/>
    <w:pPr>
      <w:jc w:val="both"/>
    </w:pPr>
  </w:style>
  <w:style w:type="paragraph" w:styleId="Heading1">
    <w:name w:val="heading 1"/>
    <w:basedOn w:val="Normal"/>
    <w:next w:val="Normal"/>
    <w:link w:val="Heading1Char"/>
    <w:uiPriority w:val="9"/>
    <w:qFormat/>
    <w:rsid w:val="0080439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A923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238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9D"/>
    <w:pPr>
      <w:tabs>
        <w:tab w:val="center" w:pos="4680"/>
        <w:tab w:val="right" w:pos="9360"/>
      </w:tabs>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pPr>
  </w:style>
  <w:style w:type="character" w:customStyle="1" w:styleId="FooterChar">
    <w:name w:val="Footer Char"/>
    <w:basedOn w:val="DefaultParagraphFont"/>
    <w:link w:val="Footer"/>
    <w:uiPriority w:val="99"/>
    <w:rsid w:val="0080439D"/>
  </w:style>
  <w:style w:type="character" w:customStyle="1" w:styleId="Heading1Char">
    <w:name w:val="Heading 1 Char"/>
    <w:basedOn w:val="DefaultParagraphFont"/>
    <w:link w:val="Heading1"/>
    <w:uiPriority w:val="9"/>
    <w:rsid w:val="0080439D"/>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0439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0439D"/>
    <w:rPr>
      <w:sz w:val="20"/>
      <w:szCs w:val="20"/>
    </w:rPr>
  </w:style>
  <w:style w:type="character" w:customStyle="1" w:styleId="FootnoteTextChar">
    <w:name w:val="Footnote Text Char"/>
    <w:basedOn w:val="DefaultParagraphFont"/>
    <w:link w:val="FootnoteText"/>
    <w:uiPriority w:val="99"/>
    <w:semiHidden/>
    <w:rsid w:val="0080439D"/>
    <w:rPr>
      <w:sz w:val="20"/>
      <w:szCs w:val="20"/>
    </w:rPr>
  </w:style>
  <w:style w:type="character" w:styleId="FootnoteReference">
    <w:name w:val="footnote reference"/>
    <w:basedOn w:val="DefaultParagraphFont"/>
    <w:uiPriority w:val="99"/>
    <w:semiHidden/>
    <w:unhideWhenUsed/>
    <w:rsid w:val="0080439D"/>
    <w:rPr>
      <w:vertAlign w:val="superscript"/>
    </w:rPr>
  </w:style>
  <w:style w:type="table" w:styleId="GridTable4-Accent5">
    <w:name w:val="Grid Table 4 Accent 5"/>
    <w:basedOn w:val="TableNormal"/>
    <w:uiPriority w:val="49"/>
    <w:rsid w:val="0080439D"/>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0439D"/>
    <w:rPr>
      <w:color w:val="0563C1" w:themeColor="hyperlink"/>
      <w:u w:val="single"/>
    </w:rPr>
  </w:style>
  <w:style w:type="character" w:styleId="UnresolvedMention">
    <w:name w:val="Unresolved Mention"/>
    <w:basedOn w:val="DefaultParagraphFont"/>
    <w:uiPriority w:val="99"/>
    <w:semiHidden/>
    <w:unhideWhenUsed/>
    <w:rsid w:val="007E4594"/>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34"/>
    <w:qFormat/>
    <w:rsid w:val="009856E0"/>
    <w:pPr>
      <w:spacing w:after="160" w:line="259" w:lineRule="auto"/>
      <w:ind w:left="720"/>
      <w:contextualSpacing/>
    </w:pPr>
    <w:rPr>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uiPriority w:val="34"/>
    <w:locked/>
    <w:rsid w:val="009856E0"/>
    <w:rPr>
      <w:sz w:val="22"/>
      <w:szCs w:val="22"/>
      <w:lang w:val="en-US"/>
    </w:rPr>
  </w:style>
  <w:style w:type="paragraph" w:styleId="NoSpacing">
    <w:name w:val="No Spacing"/>
    <w:uiPriority w:val="1"/>
    <w:qFormat/>
    <w:rsid w:val="00014AFF"/>
  </w:style>
  <w:style w:type="character" w:styleId="CommentReference">
    <w:name w:val="annotation reference"/>
    <w:basedOn w:val="DefaultParagraphFont"/>
    <w:uiPriority w:val="99"/>
    <w:semiHidden/>
    <w:unhideWhenUsed/>
    <w:rsid w:val="00D17F60"/>
    <w:rPr>
      <w:sz w:val="16"/>
      <w:szCs w:val="16"/>
    </w:rPr>
  </w:style>
  <w:style w:type="paragraph" w:styleId="CommentText">
    <w:name w:val="annotation text"/>
    <w:basedOn w:val="Normal"/>
    <w:link w:val="CommentTextChar"/>
    <w:uiPriority w:val="99"/>
    <w:semiHidden/>
    <w:unhideWhenUsed/>
    <w:rsid w:val="00D17F60"/>
    <w:rPr>
      <w:sz w:val="20"/>
      <w:szCs w:val="20"/>
    </w:rPr>
  </w:style>
  <w:style w:type="character" w:customStyle="1" w:styleId="CommentTextChar">
    <w:name w:val="Comment Text Char"/>
    <w:basedOn w:val="DefaultParagraphFont"/>
    <w:link w:val="CommentText"/>
    <w:uiPriority w:val="99"/>
    <w:semiHidden/>
    <w:rsid w:val="00D17F60"/>
    <w:rPr>
      <w:sz w:val="20"/>
      <w:szCs w:val="20"/>
    </w:rPr>
  </w:style>
  <w:style w:type="paragraph" w:styleId="CommentSubject">
    <w:name w:val="annotation subject"/>
    <w:basedOn w:val="CommentText"/>
    <w:next w:val="CommentText"/>
    <w:link w:val="CommentSubjectChar"/>
    <w:uiPriority w:val="99"/>
    <w:semiHidden/>
    <w:unhideWhenUsed/>
    <w:rsid w:val="00D17F60"/>
    <w:rPr>
      <w:b/>
      <w:bCs/>
    </w:rPr>
  </w:style>
  <w:style w:type="character" w:customStyle="1" w:styleId="CommentSubjectChar">
    <w:name w:val="Comment Subject Char"/>
    <w:basedOn w:val="CommentTextChar"/>
    <w:link w:val="CommentSubject"/>
    <w:uiPriority w:val="99"/>
    <w:semiHidden/>
    <w:rsid w:val="00D17F60"/>
    <w:rPr>
      <w:b/>
      <w:bCs/>
      <w:sz w:val="20"/>
      <w:szCs w:val="20"/>
    </w:rPr>
  </w:style>
  <w:style w:type="paragraph" w:styleId="BalloonText">
    <w:name w:val="Balloon Text"/>
    <w:basedOn w:val="Normal"/>
    <w:link w:val="BalloonTextChar"/>
    <w:uiPriority w:val="99"/>
    <w:semiHidden/>
    <w:unhideWhenUsed/>
    <w:rsid w:val="00D17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F60"/>
    <w:rPr>
      <w:rFonts w:ascii="Segoe UI" w:hAnsi="Segoe UI" w:cs="Segoe UI"/>
      <w:sz w:val="18"/>
      <w:szCs w:val="18"/>
    </w:rPr>
  </w:style>
  <w:style w:type="paragraph" w:styleId="Revision">
    <w:name w:val="Revision"/>
    <w:hidden/>
    <w:uiPriority w:val="99"/>
    <w:semiHidden/>
    <w:rsid w:val="006D7BFE"/>
  </w:style>
  <w:style w:type="character" w:customStyle="1" w:styleId="normaltextrun">
    <w:name w:val="normaltextrun"/>
    <w:basedOn w:val="DefaultParagraphFont"/>
    <w:rsid w:val="005D77C5"/>
  </w:style>
  <w:style w:type="character" w:customStyle="1" w:styleId="eop">
    <w:name w:val="eop"/>
    <w:basedOn w:val="DefaultParagraphFont"/>
    <w:rsid w:val="005D77C5"/>
  </w:style>
  <w:style w:type="table" w:styleId="TableGrid">
    <w:name w:val="Table Grid"/>
    <w:basedOn w:val="TableNormal"/>
    <w:uiPriority w:val="39"/>
    <w:rsid w:val="00FB190E"/>
    <w:rPr>
      <w:rFonts w:eastAsiaTheme="minorHAns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C77AA"/>
    <w:rPr>
      <w:rFonts w:ascii="Segoe UI" w:hAnsi="Segoe UI" w:cs="Segoe UI" w:hint="default"/>
      <w:sz w:val="18"/>
      <w:szCs w:val="18"/>
    </w:rPr>
  </w:style>
  <w:style w:type="paragraph" w:customStyle="1" w:styleId="Default">
    <w:name w:val="Default"/>
    <w:rsid w:val="000C6177"/>
    <w:pPr>
      <w:autoSpaceDE w:val="0"/>
      <w:autoSpaceDN w:val="0"/>
      <w:adjustRightInd w:val="0"/>
    </w:pPr>
    <w:rPr>
      <w:rFonts w:ascii="Calibri" w:hAnsi="Calibri" w:cs="Calibri"/>
      <w:color w:val="000000"/>
      <w:lang w:val="en-US"/>
    </w:rPr>
  </w:style>
  <w:style w:type="character" w:styleId="Strong">
    <w:name w:val="Strong"/>
    <w:basedOn w:val="DefaultParagraphFont"/>
    <w:uiPriority w:val="22"/>
    <w:qFormat/>
    <w:rsid w:val="009F511F"/>
    <w:rPr>
      <w:b/>
      <w:bCs/>
    </w:rPr>
  </w:style>
  <w:style w:type="character" w:customStyle="1" w:styleId="Heading2Char">
    <w:name w:val="Heading 2 Char"/>
    <w:basedOn w:val="DefaultParagraphFont"/>
    <w:link w:val="Heading2"/>
    <w:uiPriority w:val="9"/>
    <w:semiHidden/>
    <w:rsid w:val="00A923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9238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9119">
      <w:bodyDiv w:val="1"/>
      <w:marLeft w:val="0"/>
      <w:marRight w:val="0"/>
      <w:marTop w:val="0"/>
      <w:marBottom w:val="0"/>
      <w:divBdr>
        <w:top w:val="none" w:sz="0" w:space="0" w:color="auto"/>
        <w:left w:val="none" w:sz="0" w:space="0" w:color="auto"/>
        <w:bottom w:val="none" w:sz="0" w:space="0" w:color="auto"/>
        <w:right w:val="none" w:sz="0" w:space="0" w:color="auto"/>
      </w:divBdr>
    </w:div>
    <w:div w:id="96683293">
      <w:bodyDiv w:val="1"/>
      <w:marLeft w:val="0"/>
      <w:marRight w:val="0"/>
      <w:marTop w:val="0"/>
      <w:marBottom w:val="0"/>
      <w:divBdr>
        <w:top w:val="none" w:sz="0" w:space="0" w:color="auto"/>
        <w:left w:val="none" w:sz="0" w:space="0" w:color="auto"/>
        <w:bottom w:val="none" w:sz="0" w:space="0" w:color="auto"/>
        <w:right w:val="none" w:sz="0" w:space="0" w:color="auto"/>
      </w:divBdr>
    </w:div>
    <w:div w:id="220605727">
      <w:bodyDiv w:val="1"/>
      <w:marLeft w:val="0"/>
      <w:marRight w:val="0"/>
      <w:marTop w:val="0"/>
      <w:marBottom w:val="0"/>
      <w:divBdr>
        <w:top w:val="none" w:sz="0" w:space="0" w:color="auto"/>
        <w:left w:val="none" w:sz="0" w:space="0" w:color="auto"/>
        <w:bottom w:val="none" w:sz="0" w:space="0" w:color="auto"/>
        <w:right w:val="none" w:sz="0" w:space="0" w:color="auto"/>
      </w:divBdr>
    </w:div>
    <w:div w:id="252516235">
      <w:bodyDiv w:val="1"/>
      <w:marLeft w:val="0"/>
      <w:marRight w:val="0"/>
      <w:marTop w:val="0"/>
      <w:marBottom w:val="0"/>
      <w:divBdr>
        <w:top w:val="none" w:sz="0" w:space="0" w:color="auto"/>
        <w:left w:val="none" w:sz="0" w:space="0" w:color="auto"/>
        <w:bottom w:val="none" w:sz="0" w:space="0" w:color="auto"/>
        <w:right w:val="none" w:sz="0" w:space="0" w:color="auto"/>
      </w:divBdr>
    </w:div>
    <w:div w:id="336738974">
      <w:bodyDiv w:val="1"/>
      <w:marLeft w:val="0"/>
      <w:marRight w:val="0"/>
      <w:marTop w:val="0"/>
      <w:marBottom w:val="0"/>
      <w:divBdr>
        <w:top w:val="none" w:sz="0" w:space="0" w:color="auto"/>
        <w:left w:val="none" w:sz="0" w:space="0" w:color="auto"/>
        <w:bottom w:val="none" w:sz="0" w:space="0" w:color="auto"/>
        <w:right w:val="none" w:sz="0" w:space="0" w:color="auto"/>
      </w:divBdr>
    </w:div>
    <w:div w:id="355615219">
      <w:bodyDiv w:val="1"/>
      <w:marLeft w:val="0"/>
      <w:marRight w:val="0"/>
      <w:marTop w:val="0"/>
      <w:marBottom w:val="0"/>
      <w:divBdr>
        <w:top w:val="none" w:sz="0" w:space="0" w:color="auto"/>
        <w:left w:val="none" w:sz="0" w:space="0" w:color="auto"/>
        <w:bottom w:val="none" w:sz="0" w:space="0" w:color="auto"/>
        <w:right w:val="none" w:sz="0" w:space="0" w:color="auto"/>
      </w:divBdr>
    </w:div>
    <w:div w:id="455417589">
      <w:bodyDiv w:val="1"/>
      <w:marLeft w:val="0"/>
      <w:marRight w:val="0"/>
      <w:marTop w:val="0"/>
      <w:marBottom w:val="0"/>
      <w:divBdr>
        <w:top w:val="none" w:sz="0" w:space="0" w:color="auto"/>
        <w:left w:val="none" w:sz="0" w:space="0" w:color="auto"/>
        <w:bottom w:val="none" w:sz="0" w:space="0" w:color="auto"/>
        <w:right w:val="none" w:sz="0" w:space="0" w:color="auto"/>
      </w:divBdr>
    </w:div>
    <w:div w:id="657882875">
      <w:bodyDiv w:val="1"/>
      <w:marLeft w:val="0"/>
      <w:marRight w:val="0"/>
      <w:marTop w:val="0"/>
      <w:marBottom w:val="0"/>
      <w:divBdr>
        <w:top w:val="none" w:sz="0" w:space="0" w:color="auto"/>
        <w:left w:val="none" w:sz="0" w:space="0" w:color="auto"/>
        <w:bottom w:val="none" w:sz="0" w:space="0" w:color="auto"/>
        <w:right w:val="none" w:sz="0" w:space="0" w:color="auto"/>
      </w:divBdr>
    </w:div>
    <w:div w:id="659579484">
      <w:bodyDiv w:val="1"/>
      <w:marLeft w:val="0"/>
      <w:marRight w:val="0"/>
      <w:marTop w:val="0"/>
      <w:marBottom w:val="0"/>
      <w:divBdr>
        <w:top w:val="none" w:sz="0" w:space="0" w:color="auto"/>
        <w:left w:val="none" w:sz="0" w:space="0" w:color="auto"/>
        <w:bottom w:val="none" w:sz="0" w:space="0" w:color="auto"/>
        <w:right w:val="none" w:sz="0" w:space="0" w:color="auto"/>
      </w:divBdr>
    </w:div>
    <w:div w:id="710573742">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942490623">
      <w:bodyDiv w:val="1"/>
      <w:marLeft w:val="0"/>
      <w:marRight w:val="0"/>
      <w:marTop w:val="0"/>
      <w:marBottom w:val="0"/>
      <w:divBdr>
        <w:top w:val="none" w:sz="0" w:space="0" w:color="auto"/>
        <w:left w:val="none" w:sz="0" w:space="0" w:color="auto"/>
        <w:bottom w:val="none" w:sz="0" w:space="0" w:color="auto"/>
        <w:right w:val="none" w:sz="0" w:space="0" w:color="auto"/>
      </w:divBdr>
    </w:div>
    <w:div w:id="1030111911">
      <w:bodyDiv w:val="1"/>
      <w:marLeft w:val="0"/>
      <w:marRight w:val="0"/>
      <w:marTop w:val="0"/>
      <w:marBottom w:val="0"/>
      <w:divBdr>
        <w:top w:val="none" w:sz="0" w:space="0" w:color="auto"/>
        <w:left w:val="none" w:sz="0" w:space="0" w:color="auto"/>
        <w:bottom w:val="none" w:sz="0" w:space="0" w:color="auto"/>
        <w:right w:val="none" w:sz="0" w:space="0" w:color="auto"/>
      </w:divBdr>
    </w:div>
    <w:div w:id="1233005240">
      <w:bodyDiv w:val="1"/>
      <w:marLeft w:val="0"/>
      <w:marRight w:val="0"/>
      <w:marTop w:val="0"/>
      <w:marBottom w:val="0"/>
      <w:divBdr>
        <w:top w:val="none" w:sz="0" w:space="0" w:color="auto"/>
        <w:left w:val="none" w:sz="0" w:space="0" w:color="auto"/>
        <w:bottom w:val="none" w:sz="0" w:space="0" w:color="auto"/>
        <w:right w:val="none" w:sz="0" w:space="0" w:color="auto"/>
      </w:divBdr>
    </w:div>
    <w:div w:id="1351183975">
      <w:bodyDiv w:val="1"/>
      <w:marLeft w:val="0"/>
      <w:marRight w:val="0"/>
      <w:marTop w:val="0"/>
      <w:marBottom w:val="0"/>
      <w:divBdr>
        <w:top w:val="none" w:sz="0" w:space="0" w:color="auto"/>
        <w:left w:val="none" w:sz="0" w:space="0" w:color="auto"/>
        <w:bottom w:val="none" w:sz="0" w:space="0" w:color="auto"/>
        <w:right w:val="none" w:sz="0" w:space="0" w:color="auto"/>
      </w:divBdr>
    </w:div>
    <w:div w:id="1461995056">
      <w:bodyDiv w:val="1"/>
      <w:marLeft w:val="0"/>
      <w:marRight w:val="0"/>
      <w:marTop w:val="0"/>
      <w:marBottom w:val="0"/>
      <w:divBdr>
        <w:top w:val="none" w:sz="0" w:space="0" w:color="auto"/>
        <w:left w:val="none" w:sz="0" w:space="0" w:color="auto"/>
        <w:bottom w:val="none" w:sz="0" w:space="0" w:color="auto"/>
        <w:right w:val="none" w:sz="0" w:space="0" w:color="auto"/>
      </w:divBdr>
    </w:div>
    <w:div w:id="1549800132">
      <w:bodyDiv w:val="1"/>
      <w:marLeft w:val="0"/>
      <w:marRight w:val="0"/>
      <w:marTop w:val="0"/>
      <w:marBottom w:val="0"/>
      <w:divBdr>
        <w:top w:val="none" w:sz="0" w:space="0" w:color="auto"/>
        <w:left w:val="none" w:sz="0" w:space="0" w:color="auto"/>
        <w:bottom w:val="none" w:sz="0" w:space="0" w:color="auto"/>
        <w:right w:val="none" w:sz="0" w:space="0" w:color="auto"/>
      </w:divBdr>
    </w:div>
    <w:div w:id="1692758980">
      <w:bodyDiv w:val="1"/>
      <w:marLeft w:val="0"/>
      <w:marRight w:val="0"/>
      <w:marTop w:val="0"/>
      <w:marBottom w:val="0"/>
      <w:divBdr>
        <w:top w:val="none" w:sz="0" w:space="0" w:color="auto"/>
        <w:left w:val="none" w:sz="0" w:space="0" w:color="auto"/>
        <w:bottom w:val="none" w:sz="0" w:space="0" w:color="auto"/>
        <w:right w:val="none" w:sz="0" w:space="0" w:color="auto"/>
      </w:divBdr>
    </w:div>
    <w:div w:id="1698696572">
      <w:bodyDiv w:val="1"/>
      <w:marLeft w:val="0"/>
      <w:marRight w:val="0"/>
      <w:marTop w:val="0"/>
      <w:marBottom w:val="0"/>
      <w:divBdr>
        <w:top w:val="none" w:sz="0" w:space="0" w:color="auto"/>
        <w:left w:val="none" w:sz="0" w:space="0" w:color="auto"/>
        <w:bottom w:val="none" w:sz="0" w:space="0" w:color="auto"/>
        <w:right w:val="none" w:sz="0" w:space="0" w:color="auto"/>
      </w:divBdr>
    </w:div>
    <w:div w:id="1781296506">
      <w:bodyDiv w:val="1"/>
      <w:marLeft w:val="0"/>
      <w:marRight w:val="0"/>
      <w:marTop w:val="0"/>
      <w:marBottom w:val="0"/>
      <w:divBdr>
        <w:top w:val="none" w:sz="0" w:space="0" w:color="auto"/>
        <w:left w:val="none" w:sz="0" w:space="0" w:color="auto"/>
        <w:bottom w:val="none" w:sz="0" w:space="0" w:color="auto"/>
        <w:right w:val="none" w:sz="0" w:space="0" w:color="auto"/>
      </w:divBdr>
    </w:div>
    <w:div w:id="1886411396">
      <w:bodyDiv w:val="1"/>
      <w:marLeft w:val="0"/>
      <w:marRight w:val="0"/>
      <w:marTop w:val="0"/>
      <w:marBottom w:val="0"/>
      <w:divBdr>
        <w:top w:val="none" w:sz="0" w:space="0" w:color="auto"/>
        <w:left w:val="none" w:sz="0" w:space="0" w:color="auto"/>
        <w:bottom w:val="none" w:sz="0" w:space="0" w:color="auto"/>
        <w:right w:val="none" w:sz="0" w:space="0" w:color="auto"/>
      </w:divBdr>
    </w:div>
    <w:div w:id="1888030467">
      <w:bodyDiv w:val="1"/>
      <w:marLeft w:val="0"/>
      <w:marRight w:val="0"/>
      <w:marTop w:val="0"/>
      <w:marBottom w:val="0"/>
      <w:divBdr>
        <w:top w:val="none" w:sz="0" w:space="0" w:color="auto"/>
        <w:left w:val="none" w:sz="0" w:space="0" w:color="auto"/>
        <w:bottom w:val="none" w:sz="0" w:space="0" w:color="auto"/>
        <w:right w:val="none" w:sz="0" w:space="0" w:color="auto"/>
      </w:divBdr>
    </w:div>
    <w:div w:id="2013332952">
      <w:bodyDiv w:val="1"/>
      <w:marLeft w:val="0"/>
      <w:marRight w:val="0"/>
      <w:marTop w:val="0"/>
      <w:marBottom w:val="0"/>
      <w:divBdr>
        <w:top w:val="none" w:sz="0" w:space="0" w:color="auto"/>
        <w:left w:val="none" w:sz="0" w:space="0" w:color="auto"/>
        <w:bottom w:val="none" w:sz="0" w:space="0" w:color="auto"/>
        <w:right w:val="none" w:sz="0" w:space="0" w:color="auto"/>
      </w:divBdr>
    </w:div>
    <w:div w:id="20583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wongthawatchai@un.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51c0c07-06e3-48aa-9023-a186668cdd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B25FD50134744AB46C8E0FFE52707A" ma:contentTypeVersion="17" ma:contentTypeDescription="Create a new document." ma:contentTypeScope="" ma:versionID="415c4230e4fac1227fd5f9f61bb6b59c">
  <xsd:schema xmlns:xsd="http://www.w3.org/2001/XMLSchema" xmlns:xs="http://www.w3.org/2001/XMLSchema" xmlns:p="http://schemas.microsoft.com/office/2006/metadata/properties" xmlns:ns2="851c0c07-06e3-48aa-9023-a186668cddef" xmlns:ns3="d7fe1d00-5f92-4dfb-a8df-252d5220b019" xmlns:ns4="985ec44e-1bab-4c0b-9df0-6ba128686fc9" targetNamespace="http://schemas.microsoft.com/office/2006/metadata/properties" ma:root="true" ma:fieldsID="b61d8b0804db13d7a2d2f785fd56563b" ns2:_="" ns3:_="" ns4:_="">
    <xsd:import namespace="851c0c07-06e3-48aa-9023-a186668cddef"/>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c0c07-06e3-48aa-9023-a186668c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05e19-704e-43db-9991-638e9a31547b}"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73795-59A9-49EA-A4A7-04AE1684CA87}">
  <ds:schemaRefs>
    <ds:schemaRef ds:uri="http://schemas.openxmlformats.org/officeDocument/2006/bibliography"/>
  </ds:schemaRefs>
</ds:datastoreItem>
</file>

<file path=customXml/itemProps2.xml><?xml version="1.0" encoding="utf-8"?>
<ds:datastoreItem xmlns:ds="http://schemas.openxmlformats.org/officeDocument/2006/customXml" ds:itemID="{7026E7AD-ABCE-49C9-9489-5ACFAABD62E1}">
  <ds:schemaRefs>
    <ds:schemaRef ds:uri="http://schemas.microsoft.com/office/2006/metadata/properties"/>
    <ds:schemaRef ds:uri="http://schemas.microsoft.com/office/infopath/2007/PartnerControls"/>
    <ds:schemaRef ds:uri="985ec44e-1bab-4c0b-9df0-6ba128686fc9"/>
    <ds:schemaRef ds:uri="851c0c07-06e3-48aa-9023-a186668cddef"/>
  </ds:schemaRefs>
</ds:datastoreItem>
</file>

<file path=customXml/itemProps3.xml><?xml version="1.0" encoding="utf-8"?>
<ds:datastoreItem xmlns:ds="http://schemas.openxmlformats.org/officeDocument/2006/customXml" ds:itemID="{96695D9A-0CA1-4245-A9ED-452FBD5BB1D1}">
  <ds:schemaRefs>
    <ds:schemaRef ds:uri="http://schemas.microsoft.com/sharepoint/v3/contenttype/forms"/>
  </ds:schemaRefs>
</ds:datastoreItem>
</file>

<file path=customXml/itemProps4.xml><?xml version="1.0" encoding="utf-8"?>
<ds:datastoreItem xmlns:ds="http://schemas.openxmlformats.org/officeDocument/2006/customXml" ds:itemID="{C447626B-8313-4971-84E3-CCE4D86BD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c0c07-06e3-48aa-9023-a186668cddef"/>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693</Words>
  <Characters>4465</Characters>
  <Application>Microsoft Office Word</Application>
  <DocSecurity>0</DocSecurity>
  <Lines>159</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Roasa, Jessica Nicole   (CIFOR)</dc:creator>
  <cp:keywords/>
  <dc:description/>
  <cp:lastModifiedBy>Nuankae Wongthawatchai</cp:lastModifiedBy>
  <cp:revision>7</cp:revision>
  <cp:lastPrinted>2022-11-04T08:25:00Z</cp:lastPrinted>
  <dcterms:created xsi:type="dcterms:W3CDTF">2024-01-30T04:21:00Z</dcterms:created>
  <dcterms:modified xsi:type="dcterms:W3CDTF">2024-01-30T05:10:00Z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0x010100A4B25FD50134744AB46C8E0FFE52707A</vt:lpwstr>
  </property>
  <property fmtid="{D5CDD505-2E9C-101B-9397-08002B2CF9AE}" pid="3" name="MediaServiceImageTags">
    <vt:lpwstr/>
  </property>
  <property fmtid="{D5CDD505-2E9C-101B-9397-08002B2CF9AE}" pid="4" name="GrammarlyDocumentId">
    <vt:lpwstr>6e0e53cfe26530ba5b2c13c2459b91d992868968bb7fb4de38ca7b634c466b12</vt:lpwstr>
  </property>
</Properties>
</file>